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451"/>
        <w:tblW w:w="10993" w:type="dxa"/>
        <w:tblCellSpacing w:w="15" w:type="dxa"/>
        <w:tblCellMar>
          <w:top w:w="15" w:type="dxa"/>
          <w:left w:w="15" w:type="dxa"/>
          <w:bottom w:w="15" w:type="dxa"/>
          <w:right w:w="15" w:type="dxa"/>
        </w:tblCellMar>
        <w:tblLook w:val="04A0" w:firstRow="1" w:lastRow="0" w:firstColumn="1" w:lastColumn="0" w:noHBand="0" w:noVBand="1"/>
      </w:tblPr>
      <w:tblGrid>
        <w:gridCol w:w="3820"/>
        <w:gridCol w:w="7940"/>
      </w:tblGrid>
      <w:tr w:rsidR="00C2045F" w:rsidRPr="00C2045F" w:rsidTr="001F7567">
        <w:trPr>
          <w:trHeight w:val="981"/>
          <w:tblCellSpacing w:w="15" w:type="dxa"/>
        </w:trPr>
        <w:tc>
          <w:tcPr>
            <w:tcW w:w="2552" w:type="dxa"/>
            <w:vAlign w:val="center"/>
            <w:hideMark/>
          </w:tcPr>
          <w:p w:rsidR="00C2045F" w:rsidRPr="00C2045F" w:rsidRDefault="00C2045F" w:rsidP="00C2045F">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MX" w:eastAsia="es-MX"/>
              </w:rPr>
              <w:drawing>
                <wp:inline distT="0" distB="0" distL="0" distR="0">
                  <wp:extent cx="1428750" cy="962025"/>
                  <wp:effectExtent l="19050" t="0" r="0" b="0"/>
                  <wp:docPr id="1" name="Imagen 1" descr="http://desarrollo/Documentos/Programacion%20y%20Presupuesto/archivos/2009/lineamientos/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sarrollo/Documentos/Programacion%20y%20Presupuesto/archivos/2009/lineamientos/Logo_.jpg"/>
                          <pic:cNvPicPr>
                            <a:picLocks noChangeAspect="1" noChangeArrowheads="1"/>
                          </pic:cNvPicPr>
                        </pic:nvPicPr>
                        <pic:blipFill>
                          <a:blip r:embed="rId5"/>
                          <a:srcRect/>
                          <a:stretch>
                            <a:fillRect/>
                          </a:stretch>
                        </pic:blipFill>
                        <pic:spPr bwMode="auto">
                          <a:xfrm>
                            <a:off x="0" y="0"/>
                            <a:ext cx="1428750" cy="962025"/>
                          </a:xfrm>
                          <a:prstGeom prst="rect">
                            <a:avLst/>
                          </a:prstGeom>
                          <a:noFill/>
                          <a:ln w="9525">
                            <a:noFill/>
                            <a:miter lim="800000"/>
                            <a:headEnd/>
                            <a:tailEnd/>
                          </a:ln>
                        </pic:spPr>
                      </pic:pic>
                    </a:graphicData>
                  </a:graphic>
                </wp:inline>
              </w:drawing>
            </w:r>
          </w:p>
        </w:tc>
        <w:tc>
          <w:tcPr>
            <w:tcW w:w="8351" w:type="dxa"/>
            <w:vAlign w:val="center"/>
            <w:hideMark/>
          </w:tcPr>
          <w:p w:rsidR="00C2045F" w:rsidRPr="00C2045F" w:rsidRDefault="00C2045F" w:rsidP="00C2045F">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C2045F">
              <w:rPr>
                <w:rFonts w:ascii="Geneva" w:eastAsia="Times New Roman" w:hAnsi="Geneva" w:cs="Times New Roman"/>
                <w:b/>
                <w:bCs/>
                <w:sz w:val="20"/>
                <w:szCs w:val="20"/>
                <w:lang w:eastAsia="es-ES"/>
              </w:rPr>
              <w:t xml:space="preserve">UNIVERSIDAD TECNOLÓGICA DEL VALLE DEL MEZQUITAL </w:t>
            </w:r>
          </w:p>
          <w:p w:rsidR="00C2045F" w:rsidRPr="00C2045F" w:rsidRDefault="00C2045F" w:rsidP="00C2045F">
            <w:pPr>
              <w:spacing w:before="100" w:beforeAutospacing="1" w:after="100" w:afterAutospacing="1" w:line="240" w:lineRule="auto"/>
              <w:jc w:val="center"/>
              <w:rPr>
                <w:rFonts w:ascii="Geneva" w:eastAsia="Times New Roman" w:hAnsi="Geneva" w:cs="Times New Roman"/>
                <w:b/>
                <w:bCs/>
                <w:sz w:val="20"/>
                <w:szCs w:val="20"/>
                <w:lang w:eastAsia="es-ES"/>
              </w:rPr>
            </w:pPr>
            <w:r w:rsidRPr="00C2045F">
              <w:rPr>
                <w:rFonts w:ascii="Geneva" w:eastAsia="Times New Roman" w:hAnsi="Geneva" w:cs="Times New Roman"/>
                <w:b/>
                <w:bCs/>
                <w:sz w:val="20"/>
                <w:szCs w:val="20"/>
                <w:lang w:eastAsia="es-ES"/>
              </w:rPr>
              <w:t>Lineamientos para el ejercicio del gasto</w:t>
            </w:r>
          </w:p>
          <w:p w:rsidR="00C2045F" w:rsidRPr="00C2045F" w:rsidRDefault="00C2045F" w:rsidP="00BE7BC4">
            <w:pPr>
              <w:spacing w:after="0" w:line="240" w:lineRule="auto"/>
              <w:jc w:val="center"/>
              <w:rPr>
                <w:rFonts w:ascii="Times New Roman" w:eastAsia="Times New Roman" w:hAnsi="Times New Roman" w:cs="Times New Roman"/>
                <w:sz w:val="24"/>
                <w:szCs w:val="24"/>
                <w:lang w:eastAsia="es-ES"/>
              </w:rPr>
            </w:pPr>
          </w:p>
        </w:tc>
      </w:tr>
      <w:tr w:rsidR="00C2045F" w:rsidRPr="00C2045F" w:rsidTr="001F7567">
        <w:trPr>
          <w:trHeight w:val="73"/>
          <w:tblCellSpacing w:w="15" w:type="dxa"/>
        </w:trPr>
        <w:tc>
          <w:tcPr>
            <w:tcW w:w="10933" w:type="dxa"/>
            <w:gridSpan w:val="2"/>
            <w:vAlign w:val="center"/>
            <w:hideMark/>
          </w:tcPr>
          <w:p w:rsidR="00C2045F" w:rsidRPr="00C2045F" w:rsidRDefault="00C2045F" w:rsidP="00C2045F">
            <w:pPr>
              <w:spacing w:before="100" w:beforeAutospacing="1" w:after="100" w:afterAutospacing="1" w:line="240" w:lineRule="auto"/>
              <w:rPr>
                <w:rFonts w:ascii="Geneva" w:eastAsia="Times New Roman" w:hAnsi="Geneva" w:cs="Times New Roman"/>
                <w:b/>
                <w:bCs/>
                <w:sz w:val="20"/>
                <w:szCs w:val="20"/>
                <w:lang w:eastAsia="es-ES"/>
              </w:rPr>
            </w:pPr>
            <w:r w:rsidRPr="00C2045F">
              <w:rPr>
                <w:rFonts w:ascii="Geneva" w:eastAsia="Times New Roman" w:hAnsi="Geneva" w:cs="Times New Roman"/>
                <w:b/>
                <w:bCs/>
                <w:sz w:val="20"/>
                <w:szCs w:val="20"/>
                <w:lang w:eastAsia="es-ES"/>
              </w:rPr>
              <w:t> </w:t>
            </w:r>
          </w:p>
          <w:p w:rsidR="00C2045F" w:rsidRPr="00C2045F" w:rsidRDefault="00C2045F" w:rsidP="00C2045F">
            <w:pPr>
              <w:spacing w:before="100" w:beforeAutospacing="1" w:after="100" w:afterAutospacing="1" w:line="240" w:lineRule="auto"/>
              <w:jc w:val="center"/>
              <w:rPr>
                <w:rFonts w:ascii="Geneva" w:eastAsia="Times New Roman" w:hAnsi="Geneva" w:cs="Times New Roman"/>
                <w:b/>
                <w:bCs/>
                <w:sz w:val="20"/>
                <w:szCs w:val="20"/>
                <w:lang w:eastAsia="es-ES"/>
              </w:rPr>
            </w:pPr>
            <w:r w:rsidRPr="00C2045F">
              <w:rPr>
                <w:rFonts w:ascii="Geneva" w:eastAsia="Times New Roman" w:hAnsi="Geneva" w:cs="Times New Roman"/>
                <w:b/>
                <w:bCs/>
                <w:sz w:val="20"/>
                <w:szCs w:val="20"/>
                <w:lang w:eastAsia="es-ES"/>
              </w:rPr>
              <w:t>Considerando</w:t>
            </w:r>
          </w:p>
          <w:p w:rsidR="00C2045F" w:rsidRPr="00C2045F" w:rsidRDefault="00C2045F" w:rsidP="005A20CC">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Que con el propósito de cumplir los objetivos y alcanzar las metas institucion</w:t>
            </w:r>
            <w:bookmarkStart w:id="0" w:name="_GoBack"/>
            <w:bookmarkEnd w:id="0"/>
            <w:r w:rsidRPr="00C2045F">
              <w:rPr>
                <w:rFonts w:ascii="Geneva" w:eastAsia="Times New Roman" w:hAnsi="Geneva" w:cs="Times New Roman"/>
                <w:sz w:val="20"/>
                <w:szCs w:val="20"/>
                <w:lang w:eastAsia="es-ES"/>
              </w:rPr>
              <w:t xml:space="preserve">ales, así como, para propiciar el mejor aprovechamiento de los recursos humanos, materiales y </w:t>
            </w:r>
            <w:r w:rsidRPr="00D75543">
              <w:rPr>
                <w:rFonts w:ascii="Geneva" w:eastAsia="Times New Roman" w:hAnsi="Geneva" w:cs="Times New Roman"/>
                <w:sz w:val="20"/>
                <w:szCs w:val="20"/>
                <w:lang w:eastAsia="es-ES"/>
              </w:rPr>
              <w:t>financieros, el ejercicio del gasto se realizará en apego a los presentes lineamientos, los cuales derivan de la normatividad federal y estatal</w:t>
            </w:r>
            <w:r w:rsidR="005A20CC" w:rsidRPr="00D75543">
              <w:rPr>
                <w:rFonts w:ascii="Geneva" w:eastAsia="Times New Roman" w:hAnsi="Geneva" w:cs="Times New Roman"/>
                <w:sz w:val="20"/>
                <w:szCs w:val="20"/>
                <w:lang w:eastAsia="es-ES"/>
              </w:rPr>
              <w:t xml:space="preserve"> (Manual de Normas y Lineamientos para el Ejercicio de los Programas y Proyectos de Gasto de Operación),</w:t>
            </w:r>
            <w:r w:rsidRPr="00D75543">
              <w:rPr>
                <w:rFonts w:ascii="Geneva" w:eastAsia="Times New Roman" w:hAnsi="Geneva" w:cs="Times New Roman"/>
                <w:sz w:val="20"/>
                <w:szCs w:val="20"/>
                <w:lang w:eastAsia="es-ES"/>
              </w:rPr>
              <w:t xml:space="preserve"> regulatoria al respecto.</w:t>
            </w:r>
            <w:r w:rsidRPr="00C2045F">
              <w:rPr>
                <w:rFonts w:ascii="Geneva" w:eastAsia="Times New Roman" w:hAnsi="Geneva" w:cs="Times New Roman"/>
                <w:sz w:val="20"/>
                <w:szCs w:val="20"/>
                <w:lang w:eastAsia="es-ES"/>
              </w:rPr>
              <w:t xml:space="preserve"> </w:t>
            </w:r>
          </w:p>
          <w:p w:rsidR="00C2045F" w:rsidRPr="00C2045F" w:rsidRDefault="00C2045F" w:rsidP="005A20CC">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Que la Universidad llevará a cabo actividades que promuevan el uso eficiente de los recursos públicos asignados a la Institución, así como la implementación de medidas que propicien la transparencia en el ejercicio del presupuesto, se emiten los siguientes:</w:t>
            </w:r>
          </w:p>
          <w:p w:rsidR="00C2045F" w:rsidRPr="00C2045F" w:rsidRDefault="00C2045F" w:rsidP="00C2045F">
            <w:pPr>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Lineamientos para el ejercicio del gasto</w:t>
            </w:r>
          </w:p>
          <w:p w:rsidR="00C2045F" w:rsidRPr="00C2045F" w:rsidRDefault="00C2045F" w:rsidP="00C2045F">
            <w:pPr>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Generales</w:t>
            </w:r>
          </w:p>
          <w:p w:rsidR="00C2045F" w:rsidRPr="00C2045F" w:rsidRDefault="00C2045F" w:rsidP="005A20CC">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1.-</w:t>
            </w:r>
            <w:r w:rsidRPr="00C2045F">
              <w:rPr>
                <w:rFonts w:ascii="Geneva" w:eastAsia="Times New Roman" w:hAnsi="Geneva" w:cs="Times New Roman"/>
                <w:sz w:val="20"/>
                <w:szCs w:val="20"/>
                <w:lang w:eastAsia="es-ES"/>
              </w:rPr>
              <w:t xml:space="preserve"> Cada una de las Áreas, que conforman la estructura operativa de la Universidad Tecnológica del Valle del Mezquital, en el ejercicio del presupuesto que les sea asignado, deberá tomar medidas para racionalizar el gasto destinado a las actividades académicas, administrativas y de apoyo, sin afectar el cumplimiento de los objetivos y las metas institucionales establecidas.</w:t>
            </w:r>
          </w:p>
          <w:p w:rsidR="00C2045F" w:rsidRPr="00C2045F" w:rsidRDefault="00C2045F" w:rsidP="005A20CC">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2.-</w:t>
            </w:r>
            <w:r w:rsidRPr="00C2045F">
              <w:rPr>
                <w:rFonts w:ascii="Geneva" w:eastAsia="Times New Roman" w:hAnsi="Geneva" w:cs="Times New Roman"/>
                <w:sz w:val="20"/>
                <w:szCs w:val="20"/>
                <w:lang w:eastAsia="es-ES"/>
              </w:rPr>
              <w:t>  Las erogaciones que se efectúen con cargo al presupuesto de esta Institución Educativa, deberán estar contempladas en el Programa Operativo Anual.</w:t>
            </w:r>
          </w:p>
          <w:p w:rsidR="00C2045F" w:rsidRPr="00C2045F" w:rsidRDefault="00C2045F" w:rsidP="00C2045F">
            <w:pPr>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Servicios personales</w:t>
            </w:r>
          </w:p>
          <w:p w:rsidR="00C2045F" w:rsidRPr="00C2045F"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3.-</w:t>
            </w:r>
            <w:r w:rsidRPr="00C2045F">
              <w:rPr>
                <w:rFonts w:ascii="Geneva" w:eastAsia="Times New Roman" w:hAnsi="Geneva" w:cs="Times New Roman"/>
                <w:sz w:val="20"/>
                <w:szCs w:val="20"/>
                <w:lang w:eastAsia="es-ES"/>
              </w:rPr>
              <w:t xml:space="preserve"> Las percepciones ordinarias, incrementos salariales y otras prestaciones similares por concepto de servicios personales, se sujetarán a lo siguiente:</w:t>
            </w:r>
          </w:p>
          <w:p w:rsidR="00C2045F" w:rsidRPr="00C2045F" w:rsidRDefault="00C2045F" w:rsidP="00817EEE">
            <w:pPr>
              <w:numPr>
                <w:ilvl w:val="0"/>
                <w:numId w:val="1"/>
              </w:num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 xml:space="preserve">Al presupuesto autorizado. </w:t>
            </w:r>
          </w:p>
          <w:p w:rsidR="00C2045F" w:rsidRPr="00C2045F" w:rsidRDefault="00C2045F" w:rsidP="00817EEE">
            <w:pPr>
              <w:numPr>
                <w:ilvl w:val="0"/>
                <w:numId w:val="1"/>
              </w:num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 xml:space="preserve">A los tabuladores de percepciones. </w:t>
            </w:r>
          </w:p>
          <w:p w:rsidR="00C2045F" w:rsidRPr="00C2045F" w:rsidRDefault="00C2045F" w:rsidP="00817EEE">
            <w:pPr>
              <w:numPr>
                <w:ilvl w:val="0"/>
                <w:numId w:val="1"/>
              </w:num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 xml:space="preserve">Estructura orgánica. </w:t>
            </w:r>
          </w:p>
          <w:p w:rsidR="00C2045F" w:rsidRPr="00C2045F" w:rsidRDefault="00C2045F" w:rsidP="00817EEE">
            <w:pPr>
              <w:numPr>
                <w:ilvl w:val="0"/>
                <w:numId w:val="1"/>
              </w:num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 xml:space="preserve">A la plantilla de personal. </w:t>
            </w:r>
          </w:p>
          <w:p w:rsidR="00C2045F" w:rsidRPr="00C2045F" w:rsidRDefault="00C2045F" w:rsidP="00817EEE">
            <w:pPr>
              <w:numPr>
                <w:ilvl w:val="0"/>
                <w:numId w:val="1"/>
              </w:num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En general, a la normatividad aplicable</w:t>
            </w:r>
          </w:p>
          <w:p w:rsidR="00C2045F" w:rsidRPr="00C2045F"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 xml:space="preserve">4.- </w:t>
            </w:r>
            <w:r w:rsidRPr="00C2045F">
              <w:rPr>
                <w:rFonts w:ascii="Geneva" w:eastAsia="Times New Roman" w:hAnsi="Geneva" w:cs="Times New Roman"/>
                <w:sz w:val="20"/>
                <w:szCs w:val="20"/>
                <w:lang w:eastAsia="es-ES"/>
              </w:rPr>
              <w:t xml:space="preserve">Los movimientos que se realicen a la estructura orgánica, deberán estar claramente justificados y debidamente autorizados. </w:t>
            </w:r>
          </w:p>
          <w:p w:rsidR="00C2045F" w:rsidRPr="00C2045F"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 xml:space="preserve">5.- </w:t>
            </w:r>
            <w:r w:rsidRPr="00C2045F">
              <w:rPr>
                <w:rFonts w:ascii="Geneva" w:eastAsia="Times New Roman" w:hAnsi="Geneva" w:cs="Times New Roman"/>
                <w:sz w:val="20"/>
                <w:szCs w:val="20"/>
                <w:lang w:eastAsia="es-ES"/>
              </w:rPr>
              <w:t>La Universidad se abstendrá de contratar trabajadores eventuales, en caso de que esto suceda, deberá estar debidamente justificado y reunir los requisitos siguientes:</w:t>
            </w:r>
          </w:p>
          <w:p w:rsidR="00C2045F" w:rsidRPr="00C2045F"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I. La persona que se contrate no deberá realizar actividades o funciones equivalentes a las que desempeñen los elementos que conforman la plantilla de personal.</w:t>
            </w:r>
          </w:p>
          <w:p w:rsidR="00C2045F" w:rsidRPr="00C2045F"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 xml:space="preserve">II. En caso de que se contrate personal para cubrir una incapacidad, se entenderá que no existe duplicidad de funciones, toda vez que el titular del puesto, estará ausente, de acuerdo a la licencia médica. </w:t>
            </w:r>
          </w:p>
          <w:p w:rsidR="00C2045F" w:rsidRPr="00C2045F"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III. El jefe inmediato que requiera de un trabajador eventual, deberá presentar una solicitud, misma que contendrá entre otros, las actividades a realizar y la justificación de dicha solicitud.</w:t>
            </w:r>
          </w:p>
          <w:p w:rsidR="00C2045F" w:rsidRPr="00C2045F" w:rsidRDefault="00C2045F" w:rsidP="00C2045F">
            <w:pPr>
              <w:spacing w:before="100" w:beforeAutospacing="1" w:after="100" w:afterAutospacing="1" w:line="240" w:lineRule="auto"/>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lastRenderedPageBreak/>
              <w:t>IV. El contrato deberá establecerse por obra o tiempo determinado, sin exceder de un periodo cuatrimestral a otro, en caso de requerirse por más tiempo, deberá de existir una justificación de la recontratación.</w:t>
            </w:r>
          </w:p>
          <w:p w:rsidR="00C2045F" w:rsidRPr="00C2045F" w:rsidRDefault="00C2045F" w:rsidP="00C2045F">
            <w:pPr>
              <w:spacing w:after="0" w:line="240" w:lineRule="auto"/>
              <w:rPr>
                <w:rFonts w:ascii="Times New Roman" w:eastAsia="Times New Roman" w:hAnsi="Times New Roman" w:cs="Times New Roman"/>
                <w:sz w:val="24"/>
                <w:szCs w:val="24"/>
                <w:lang w:eastAsia="es-ES"/>
              </w:rPr>
            </w:pPr>
            <w:r w:rsidRPr="00C2045F">
              <w:rPr>
                <w:rFonts w:ascii="Geneva" w:eastAsia="Times New Roman" w:hAnsi="Geneva" w:cs="Times New Roman"/>
                <w:sz w:val="20"/>
                <w:lang w:eastAsia="es-ES"/>
              </w:rPr>
              <w:t>V. El trabajador eventual, no podrá gozar de prestaciones adicionales a su salario.</w:t>
            </w:r>
          </w:p>
          <w:p w:rsidR="00C2045F" w:rsidRPr="00C2045F" w:rsidRDefault="00C2045F" w:rsidP="00C2045F">
            <w:pPr>
              <w:spacing w:before="100" w:beforeAutospacing="1" w:after="100" w:afterAutospacing="1" w:line="240" w:lineRule="auto"/>
              <w:rPr>
                <w:rFonts w:ascii="Times New Roman" w:eastAsia="Times New Roman" w:hAnsi="Times New Roman" w:cs="Times New Roman"/>
                <w:sz w:val="24"/>
                <w:szCs w:val="24"/>
                <w:lang w:eastAsia="es-ES"/>
              </w:rPr>
            </w:pPr>
            <w:r w:rsidRPr="00C2045F">
              <w:rPr>
                <w:rFonts w:ascii="Geneva" w:eastAsia="Times New Roman" w:hAnsi="Geneva" w:cs="Times New Roman"/>
                <w:sz w:val="20"/>
                <w:lang w:eastAsia="es-ES"/>
              </w:rPr>
              <w:t xml:space="preserve">VI. Si se requiere contratar personal para impartir </w:t>
            </w:r>
            <w:proofErr w:type="gramStart"/>
            <w:r w:rsidRPr="00C2045F">
              <w:rPr>
                <w:rFonts w:ascii="Geneva" w:eastAsia="Times New Roman" w:hAnsi="Geneva" w:cs="Times New Roman"/>
                <w:sz w:val="20"/>
                <w:lang w:eastAsia="es-ES"/>
              </w:rPr>
              <w:t>algún  curso</w:t>
            </w:r>
            <w:proofErr w:type="gramEnd"/>
            <w:r w:rsidRPr="00C2045F">
              <w:rPr>
                <w:rFonts w:ascii="Geneva" w:eastAsia="Times New Roman" w:hAnsi="Geneva" w:cs="Times New Roman"/>
                <w:sz w:val="20"/>
                <w:lang w:eastAsia="es-ES"/>
              </w:rPr>
              <w:t>, platica o similar, y dicho evento vaya a originar ingresos, deberá informarse a la Dirección de Administración y Finanzas, el monto de los ingresos estimados a obtener.</w:t>
            </w:r>
          </w:p>
          <w:p w:rsidR="00C2045F" w:rsidRPr="00C2045F" w:rsidRDefault="00C2045F" w:rsidP="00C2045F">
            <w:pPr>
              <w:spacing w:before="100" w:beforeAutospacing="1" w:after="100" w:afterAutospacing="1" w:line="240" w:lineRule="auto"/>
              <w:rPr>
                <w:rFonts w:ascii="Times New Roman" w:eastAsia="Times New Roman" w:hAnsi="Times New Roman" w:cs="Times New Roman"/>
                <w:sz w:val="24"/>
                <w:szCs w:val="24"/>
                <w:lang w:eastAsia="es-ES"/>
              </w:rPr>
            </w:pPr>
            <w:r w:rsidRPr="00C2045F">
              <w:rPr>
                <w:rFonts w:ascii="Geneva" w:eastAsia="Times New Roman" w:hAnsi="Geneva" w:cs="Times New Roman"/>
                <w:sz w:val="20"/>
                <w:lang w:eastAsia="es-ES"/>
              </w:rPr>
              <w:t>VII. Cuando exista una vacante en la plantilla de personal, se dará preferencia al personal eventual que reúna el perfil del puesto vacante, sujetándose al procedimiento de contratación correspondiente.</w:t>
            </w:r>
          </w:p>
          <w:p w:rsidR="00C2045F" w:rsidRPr="00C2045F" w:rsidRDefault="00C2045F" w:rsidP="00C2045F">
            <w:pPr>
              <w:spacing w:before="100" w:beforeAutospacing="1" w:after="100" w:afterAutospacing="1" w:line="240" w:lineRule="auto"/>
              <w:rPr>
                <w:rFonts w:ascii="Times New Roman" w:eastAsia="Times New Roman" w:hAnsi="Times New Roman" w:cs="Times New Roman"/>
                <w:sz w:val="24"/>
                <w:szCs w:val="24"/>
                <w:lang w:eastAsia="es-ES"/>
              </w:rPr>
            </w:pPr>
            <w:r w:rsidRPr="00C2045F">
              <w:rPr>
                <w:rFonts w:ascii="Times New Roman" w:eastAsia="Times New Roman" w:hAnsi="Times New Roman" w:cs="Times New Roman"/>
                <w:sz w:val="24"/>
                <w:szCs w:val="24"/>
                <w:lang w:eastAsia="es-ES"/>
              </w:rPr>
              <w:t> </w:t>
            </w:r>
          </w:p>
          <w:p w:rsidR="00C2045F" w:rsidRPr="00C2045F" w:rsidRDefault="00C2045F" w:rsidP="00C2045F">
            <w:pPr>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Recursos materiales</w:t>
            </w:r>
          </w:p>
          <w:p w:rsidR="00C2045F" w:rsidRPr="00C2045F"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6.-</w:t>
            </w:r>
            <w:r w:rsidRPr="00C2045F">
              <w:rPr>
                <w:rFonts w:ascii="Geneva" w:eastAsia="Times New Roman" w:hAnsi="Geneva" w:cs="Times New Roman"/>
                <w:sz w:val="20"/>
                <w:szCs w:val="20"/>
                <w:lang w:eastAsia="es-ES"/>
              </w:rPr>
              <w:t xml:space="preserve"> Con el propósito de analizar la demanda y aprovechamiento del material de oficina, estos serán proporcionados por el almacén de papelería únicamente cuando se proporcione el </w:t>
            </w:r>
            <w:hyperlink r:id="rId6" w:tgtFrame="_blank" w:history="1">
              <w:r w:rsidRPr="00C2045F">
                <w:rPr>
                  <w:rFonts w:ascii="Geneva" w:eastAsia="Times New Roman" w:hAnsi="Geneva" w:cs="Times New Roman"/>
                  <w:b/>
                  <w:bCs/>
                  <w:color w:val="006633"/>
                  <w:sz w:val="20"/>
                  <w:szCs w:val="20"/>
                  <w:lang w:eastAsia="es-ES"/>
                </w:rPr>
                <w:t>“Vale de papelería”</w:t>
              </w:r>
            </w:hyperlink>
            <w:r w:rsidRPr="00C2045F">
              <w:rPr>
                <w:rFonts w:ascii="Geneva" w:eastAsia="Times New Roman" w:hAnsi="Geneva" w:cs="Times New Roman"/>
                <w:sz w:val="20"/>
                <w:szCs w:val="20"/>
                <w:lang w:eastAsia="es-ES"/>
              </w:rPr>
              <w:t xml:space="preserve"> debidamente justificado y firmado por el responsable del área solicitante.</w:t>
            </w:r>
          </w:p>
          <w:p w:rsidR="00C2045F" w:rsidRPr="00C2045F"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7.-</w:t>
            </w:r>
            <w:r w:rsidRPr="00C2045F">
              <w:rPr>
                <w:rFonts w:ascii="Geneva" w:eastAsia="Times New Roman" w:hAnsi="Geneva" w:cs="Times New Roman"/>
                <w:sz w:val="20"/>
                <w:szCs w:val="20"/>
                <w:lang w:eastAsia="es-ES"/>
              </w:rPr>
              <w:t xml:space="preserve"> Las erogaciones por concepto de materiales y suministros (papelería, útiles de escritorio, consumibles del equipo de cómputo y utensilios en general), deberán reducirse a los mínimos indispensables.</w:t>
            </w:r>
          </w:p>
          <w:p w:rsidR="00C2045F" w:rsidRPr="00C2045F"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8</w:t>
            </w:r>
            <w:r w:rsidRPr="00C2045F">
              <w:rPr>
                <w:rFonts w:ascii="Geneva" w:eastAsia="Times New Roman" w:hAnsi="Geneva" w:cs="Times New Roman"/>
                <w:sz w:val="20"/>
                <w:szCs w:val="20"/>
                <w:lang w:eastAsia="es-ES"/>
              </w:rPr>
              <w:t xml:space="preserve">.- La adquisición de materiales en general, se deberá evitar la adquisición de productos tóxicos o contaminantes. En el caso de reactivos o sustancias químicas, se deberán tomar las medidas necesarias a efecto de que se les </w:t>
            </w:r>
            <w:proofErr w:type="spellStart"/>
            <w:r w:rsidRPr="00C2045F">
              <w:rPr>
                <w:rFonts w:ascii="Geneva" w:eastAsia="Times New Roman" w:hAnsi="Geneva" w:cs="Times New Roman"/>
                <w:sz w:val="20"/>
                <w:szCs w:val="20"/>
                <w:lang w:eastAsia="es-ES"/>
              </w:rPr>
              <w:t>de el</w:t>
            </w:r>
            <w:proofErr w:type="spellEnd"/>
            <w:r w:rsidRPr="00C2045F">
              <w:rPr>
                <w:rFonts w:ascii="Geneva" w:eastAsia="Times New Roman" w:hAnsi="Geneva" w:cs="Times New Roman"/>
                <w:sz w:val="20"/>
                <w:szCs w:val="20"/>
                <w:lang w:eastAsia="es-ES"/>
              </w:rPr>
              <w:t xml:space="preserve"> tratamiento y destino apropiado.</w:t>
            </w:r>
          </w:p>
          <w:p w:rsidR="00C2045F" w:rsidRPr="00C2045F"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9.-</w:t>
            </w:r>
            <w:r w:rsidRPr="00C2045F">
              <w:rPr>
                <w:rFonts w:ascii="Geneva" w:eastAsia="Times New Roman" w:hAnsi="Geneva" w:cs="Times New Roman"/>
                <w:sz w:val="20"/>
                <w:szCs w:val="20"/>
                <w:lang w:eastAsia="es-ES"/>
              </w:rPr>
              <w:t xml:space="preserve"> La impresión de documentos en colores distintos al negro, se permitirá únicamente cuando por la propia naturaleza del documento y actividades del área, esto sea indispensable.</w:t>
            </w:r>
          </w:p>
          <w:p w:rsidR="00C2045F" w:rsidRPr="00C2045F"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 xml:space="preserve">10.- </w:t>
            </w:r>
            <w:r w:rsidRPr="00C2045F">
              <w:rPr>
                <w:rFonts w:ascii="Geneva" w:eastAsia="Times New Roman" w:hAnsi="Geneva" w:cs="Times New Roman"/>
                <w:sz w:val="20"/>
                <w:szCs w:val="20"/>
                <w:lang w:eastAsia="es-ES"/>
              </w:rPr>
              <w:t xml:space="preserve">Con el objeto de  programar la adquisición consolidada de materiales y suministros en general, que permita la obtención de mejores precios, los Programas Educativos de Electricidad y Electrónica Industrial, Tecnología de Alimentos y Mecánica; así como el área de Sistemas y los Departamentos de Mantenimiento e Instalaciones y Contabilidad, dentro del mes inmediato siguiente en el que se les indique el monto del presupuesto asignado, deberán realizar las requisiciones de compra de los materiales que se vayan a necesitar durante un año.  </w:t>
            </w:r>
          </w:p>
          <w:p w:rsidR="00C2045F" w:rsidRPr="00C2045F"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11</w:t>
            </w:r>
            <w:r w:rsidRPr="00C2045F">
              <w:rPr>
                <w:rFonts w:ascii="Geneva" w:eastAsia="Times New Roman" w:hAnsi="Geneva" w:cs="Times New Roman"/>
                <w:sz w:val="20"/>
                <w:szCs w:val="20"/>
                <w:lang w:eastAsia="es-ES"/>
              </w:rPr>
              <w:t>.- Se deberá aprovechar en lo posible el uso de equipo informático y sistemas de comunicación electrónica para el envío de documentación dentro y fuera de la Universidad, con el propósito de abatir el consumo de papelería, fotocopiado, artículos de oficina y servicios de mensajería.</w:t>
            </w:r>
          </w:p>
          <w:p w:rsidR="00C2045F" w:rsidRPr="00C2045F" w:rsidRDefault="00C2045F" w:rsidP="00C2045F">
            <w:pPr>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Gastos de alimentación</w:t>
            </w:r>
          </w:p>
          <w:p w:rsidR="00C2045F" w:rsidRPr="00C2045F"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12</w:t>
            </w:r>
            <w:r w:rsidRPr="00C2045F">
              <w:rPr>
                <w:rFonts w:ascii="Geneva" w:eastAsia="Times New Roman" w:hAnsi="Geneva" w:cs="Times New Roman"/>
                <w:sz w:val="20"/>
                <w:szCs w:val="20"/>
                <w:lang w:eastAsia="es-ES"/>
              </w:rPr>
              <w:t xml:space="preserve">.- Se reducirán los gastos para alimentación, destinándose exclusivamente para las áreas operativas que por la propia naturaleza de sus funciones requieran incurrir en este concepto del gasto. </w:t>
            </w:r>
          </w:p>
          <w:p w:rsidR="00C2045F" w:rsidRPr="00C2045F"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Las facturas que amparen los gastos de alimentación, deberán contar con: Justificación del gasto; relación de personas participantes; día del evento; copia del programa del evento y material fotográfico correspondiente.</w:t>
            </w:r>
          </w:p>
          <w:p w:rsidR="00C2045F" w:rsidRPr="00C2045F" w:rsidRDefault="00C2045F" w:rsidP="00C2045F">
            <w:pPr>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Combustible</w:t>
            </w:r>
          </w:p>
          <w:p w:rsidR="00C2045F" w:rsidRPr="00C2045F"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 xml:space="preserve">13.- </w:t>
            </w:r>
            <w:r w:rsidRPr="00C2045F">
              <w:rPr>
                <w:rFonts w:ascii="Geneva" w:eastAsia="Times New Roman" w:hAnsi="Geneva" w:cs="Times New Roman"/>
                <w:sz w:val="20"/>
                <w:szCs w:val="20"/>
                <w:lang w:eastAsia="es-ES"/>
              </w:rPr>
              <w:t>El gasto de combustibles, lubricantes, aditivos, estacionamiento y peaje, aplicará únicamente para vehículos oficiales.</w:t>
            </w:r>
          </w:p>
          <w:p w:rsidR="00C2045F" w:rsidRPr="00C2045F"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 xml:space="preserve">Mensualmente el Departamento de Mantenimiento e instalaciones deberá formular una bitácora de combustibles que contenga como mínimo los datos siguientes: Identificación del vehículo (Tipo de vehículo, modelo, marca, número de placa, número de inventario, número de serie, rendimiento del </w:t>
            </w:r>
            <w:r w:rsidR="00D75543" w:rsidRPr="00C2045F">
              <w:rPr>
                <w:rFonts w:ascii="Geneva" w:eastAsia="Times New Roman" w:hAnsi="Geneva" w:cs="Times New Roman"/>
                <w:sz w:val="20"/>
                <w:szCs w:val="20"/>
                <w:lang w:eastAsia="es-ES"/>
              </w:rPr>
              <w:t>vehículo</w:t>
            </w:r>
            <w:r w:rsidRPr="00C2045F">
              <w:rPr>
                <w:rFonts w:ascii="Geneva" w:eastAsia="Times New Roman" w:hAnsi="Geneva" w:cs="Times New Roman"/>
                <w:sz w:val="20"/>
                <w:szCs w:val="20"/>
                <w:lang w:eastAsia="es-ES"/>
              </w:rPr>
              <w:t>); Fecha y número del vale correspondiente; nombre de la persona comisionada, lugar de comisión; litros proporcionados e importe del mismo; kilometraje recorrido; nombre y firma del conductor del vehículo.</w:t>
            </w:r>
          </w:p>
          <w:p w:rsidR="00C2045F" w:rsidRPr="00C2045F" w:rsidRDefault="00C2045F" w:rsidP="00C2045F">
            <w:pPr>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lastRenderedPageBreak/>
              <w:t> </w:t>
            </w:r>
          </w:p>
          <w:p w:rsidR="00C2045F" w:rsidRPr="00C2045F" w:rsidRDefault="00C2045F" w:rsidP="00C2045F">
            <w:pPr>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Servicio telefónico y postal</w:t>
            </w:r>
          </w:p>
          <w:p w:rsidR="002C57A7"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14.-</w:t>
            </w:r>
            <w:r w:rsidRPr="00C2045F">
              <w:rPr>
                <w:rFonts w:ascii="Geneva" w:eastAsia="Times New Roman" w:hAnsi="Geneva" w:cs="Times New Roman"/>
                <w:sz w:val="20"/>
                <w:szCs w:val="20"/>
                <w:lang w:eastAsia="es-ES"/>
              </w:rPr>
              <w:t xml:space="preserve"> El servicio telefónico es exclusivamente para uso oficial, por lo que el uso de las claves asignadas es responsabilidad de la persona que cuente con ellas</w:t>
            </w:r>
            <w:r w:rsidR="002C57A7">
              <w:rPr>
                <w:rFonts w:ascii="Geneva" w:eastAsia="Times New Roman" w:hAnsi="Geneva" w:cs="Times New Roman"/>
                <w:sz w:val="20"/>
                <w:szCs w:val="20"/>
                <w:lang w:eastAsia="es-ES"/>
              </w:rPr>
              <w:t>.</w:t>
            </w:r>
          </w:p>
          <w:p w:rsidR="00C2045F" w:rsidRPr="00C2045F"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 xml:space="preserve">15.- </w:t>
            </w:r>
            <w:r w:rsidRPr="00C2045F">
              <w:rPr>
                <w:rFonts w:ascii="Geneva" w:eastAsia="Times New Roman" w:hAnsi="Geneva" w:cs="Times New Roman"/>
                <w:sz w:val="20"/>
                <w:szCs w:val="20"/>
                <w:lang w:eastAsia="es-ES"/>
              </w:rPr>
              <w:t xml:space="preserve">El servicio de telefonía celular, </w:t>
            </w:r>
            <w:r w:rsidR="002C57A7">
              <w:rPr>
                <w:rFonts w:ascii="Geneva" w:eastAsia="Times New Roman" w:hAnsi="Geneva" w:cs="Times New Roman"/>
                <w:sz w:val="20"/>
                <w:szCs w:val="20"/>
                <w:lang w:eastAsia="es-ES"/>
              </w:rPr>
              <w:t>no aplica</w:t>
            </w:r>
            <w:r w:rsidRPr="00C2045F">
              <w:rPr>
                <w:rFonts w:ascii="Geneva" w:eastAsia="Times New Roman" w:hAnsi="Geneva" w:cs="Times New Roman"/>
                <w:sz w:val="20"/>
                <w:szCs w:val="20"/>
                <w:lang w:eastAsia="es-ES"/>
              </w:rPr>
              <w:t>.</w:t>
            </w:r>
          </w:p>
          <w:p w:rsidR="00C2045F" w:rsidRPr="00C2045F"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 xml:space="preserve">16.- </w:t>
            </w:r>
            <w:r w:rsidRPr="00C2045F">
              <w:rPr>
                <w:rFonts w:ascii="Geneva" w:eastAsia="Times New Roman" w:hAnsi="Geneva" w:cs="Times New Roman"/>
                <w:sz w:val="20"/>
                <w:szCs w:val="20"/>
                <w:lang w:eastAsia="es-ES"/>
              </w:rPr>
              <w:t>El servicio postal y de mensajería, únicamente estará disponible para Rectoría, y en el caso de que otras áreas que por la naturaleza de sus funciones así lo requieran, deberán presentar la debida justificación al realizar la requisición de compra o solicitud de cheque.  </w:t>
            </w:r>
          </w:p>
          <w:p w:rsidR="00C2045F" w:rsidRPr="00C2045F"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 xml:space="preserve">El almacén de papelería contará con guías de correspondencia y el personal a cargo deberá llevar un control de las mismas. </w:t>
            </w:r>
          </w:p>
          <w:p w:rsidR="00C2045F" w:rsidRPr="00C2045F" w:rsidRDefault="00C2045F" w:rsidP="00C2045F">
            <w:pPr>
              <w:spacing w:before="100" w:beforeAutospacing="1" w:after="100" w:afterAutospacing="1" w:line="240" w:lineRule="auto"/>
              <w:rPr>
                <w:rFonts w:ascii="Times New Roman" w:eastAsia="Times New Roman" w:hAnsi="Times New Roman" w:cs="Times New Roman"/>
                <w:sz w:val="24"/>
                <w:szCs w:val="24"/>
                <w:lang w:eastAsia="es-ES"/>
              </w:rPr>
            </w:pPr>
            <w:r w:rsidRPr="00C2045F">
              <w:rPr>
                <w:rFonts w:ascii="Times New Roman" w:eastAsia="Times New Roman" w:hAnsi="Times New Roman" w:cs="Times New Roman"/>
                <w:sz w:val="24"/>
                <w:szCs w:val="24"/>
                <w:lang w:eastAsia="es-ES"/>
              </w:rPr>
              <w:t> </w:t>
            </w:r>
          </w:p>
          <w:p w:rsidR="00C2045F" w:rsidRPr="00C2045F" w:rsidRDefault="00C2045F" w:rsidP="00C2045F">
            <w:pPr>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Servicio de fotocopiado</w:t>
            </w:r>
          </w:p>
          <w:p w:rsidR="00C2045F" w:rsidRPr="00C2045F"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17.-</w:t>
            </w:r>
            <w:r w:rsidRPr="00C2045F">
              <w:rPr>
                <w:rFonts w:ascii="Geneva" w:eastAsia="Times New Roman" w:hAnsi="Geneva" w:cs="Times New Roman"/>
                <w:sz w:val="20"/>
                <w:szCs w:val="20"/>
                <w:lang w:eastAsia="es-ES"/>
              </w:rPr>
              <w:t xml:space="preserve"> El servicio de fotocopiado estará sujeto a lo siguiente:</w:t>
            </w:r>
          </w:p>
          <w:p w:rsidR="00C2045F" w:rsidRPr="00C2045F"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 xml:space="preserve">I. Se considera de uso estrictamente oficial, por lo que cada área vigilará que se cumpla con este precepto. </w:t>
            </w:r>
          </w:p>
          <w:p w:rsidR="00C2045F" w:rsidRPr="00C2045F"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II.  Las claves asignadas a cada área serán cambiadas periódicamente a efecto de evitar el mal uso de éstas.</w:t>
            </w:r>
          </w:p>
          <w:p w:rsidR="00C2045F" w:rsidRPr="00C2045F"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III. El área de Recursos Materiales, llevará un registro del servicio de fotocopiado por cada área, procediendo a realizar un análisis mensual y aplicar en su caso, las acciones y ajustes necesarios.</w:t>
            </w:r>
          </w:p>
          <w:p w:rsidR="00C2045F" w:rsidRPr="00C2045F"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IV. Se evitará el fotocopiado de publicaciones completas, como libros o revistas.</w:t>
            </w:r>
          </w:p>
          <w:p w:rsidR="00C2045F" w:rsidRPr="00C2045F"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V. Tratándose de oficios, memorandos y documentos en general, se deberá entregar copia únicamente a las personas cuya participación en el asunto resulte indispensable</w:t>
            </w:r>
            <w:r w:rsidR="00A74367">
              <w:rPr>
                <w:rFonts w:ascii="Geneva" w:eastAsia="Times New Roman" w:hAnsi="Geneva" w:cs="Times New Roman"/>
                <w:sz w:val="20"/>
                <w:szCs w:val="20"/>
                <w:lang w:eastAsia="es-ES"/>
              </w:rPr>
              <w:t>.</w:t>
            </w:r>
            <w:r w:rsidRPr="00C2045F">
              <w:rPr>
                <w:rFonts w:ascii="Geneva" w:eastAsia="Times New Roman" w:hAnsi="Geneva" w:cs="Times New Roman"/>
                <w:sz w:val="20"/>
                <w:szCs w:val="20"/>
                <w:lang w:eastAsia="es-ES"/>
              </w:rPr>
              <w:t xml:space="preserve"> </w:t>
            </w:r>
          </w:p>
          <w:p w:rsidR="00C2045F" w:rsidRPr="00C2045F" w:rsidRDefault="00C2045F" w:rsidP="00C2045F">
            <w:pPr>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Servicio de energía eléctrica</w:t>
            </w:r>
          </w:p>
          <w:p w:rsidR="00C2045F" w:rsidRPr="00C2045F"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18.-</w:t>
            </w:r>
            <w:r w:rsidRPr="00C2045F">
              <w:rPr>
                <w:rFonts w:ascii="Geneva" w:eastAsia="Times New Roman" w:hAnsi="Geneva" w:cs="Times New Roman"/>
                <w:sz w:val="20"/>
                <w:szCs w:val="20"/>
                <w:lang w:eastAsia="es-ES"/>
              </w:rPr>
              <w:t xml:space="preserve"> El servicio de energía eléctrica estará en operación en los días y horas hábiles, siendo responsable de la supervisión del uso de este servicio el titular de cada área operativa, procurando la utilización de luz natural y vigilando que los aparatos o maquinaria que requiera de energía eléctrica estén apagados cuando no sean utilizados.</w:t>
            </w:r>
          </w:p>
          <w:p w:rsidR="00C2045F" w:rsidRPr="00C2045F"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Cuando por necesidades propias de la Institución, sea preciso laborar y en su caso utilizar equipos eléctricos en días y horas inhábiles, se solicitará la autorización para tal efecto del Jefe inmediato superior y de la Dirección de Administración y Finanzas.</w:t>
            </w:r>
          </w:p>
          <w:p w:rsidR="00C2045F" w:rsidRPr="00C2045F" w:rsidRDefault="00C2045F" w:rsidP="00C2045F">
            <w:pPr>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Servicios de mantenimiento</w:t>
            </w:r>
          </w:p>
          <w:p w:rsidR="00C2045F" w:rsidRPr="00C2045F"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 xml:space="preserve">19.- </w:t>
            </w:r>
            <w:r w:rsidRPr="00C2045F">
              <w:rPr>
                <w:rFonts w:ascii="Geneva" w:eastAsia="Times New Roman" w:hAnsi="Geneva" w:cs="Times New Roman"/>
                <w:sz w:val="20"/>
                <w:szCs w:val="20"/>
                <w:lang w:eastAsia="es-ES"/>
              </w:rPr>
              <w:t xml:space="preserve">Los comprobantes que amparen el pago de seguro, tenencia, verificación y mantenimiento en general </w:t>
            </w:r>
            <w:proofErr w:type="gramStart"/>
            <w:r w:rsidRPr="00C2045F">
              <w:rPr>
                <w:rFonts w:ascii="Geneva" w:eastAsia="Times New Roman" w:hAnsi="Geneva" w:cs="Times New Roman"/>
                <w:sz w:val="20"/>
                <w:szCs w:val="20"/>
                <w:lang w:eastAsia="es-ES"/>
              </w:rPr>
              <w:t>de  las</w:t>
            </w:r>
            <w:proofErr w:type="gramEnd"/>
            <w:r w:rsidRPr="00C2045F">
              <w:rPr>
                <w:rFonts w:ascii="Geneva" w:eastAsia="Times New Roman" w:hAnsi="Geneva" w:cs="Times New Roman"/>
                <w:sz w:val="20"/>
                <w:szCs w:val="20"/>
                <w:lang w:eastAsia="es-ES"/>
              </w:rPr>
              <w:t xml:space="preserve"> unidades vehiculares, deberán contener los datos de Identificación del vehículo (Tipo de vehículo, modelo, marca, número de placa, número de inventario y número de serie), firma de conformidad del servicio, así como en su caso una orden de servicio que detalle los servicios solicitados y realizados.</w:t>
            </w:r>
          </w:p>
          <w:p w:rsidR="00C2045F" w:rsidRPr="00C2045F"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 xml:space="preserve">20.- </w:t>
            </w:r>
            <w:r w:rsidRPr="00C2045F">
              <w:rPr>
                <w:rFonts w:ascii="Geneva" w:eastAsia="Times New Roman" w:hAnsi="Geneva" w:cs="Times New Roman"/>
                <w:sz w:val="20"/>
                <w:szCs w:val="20"/>
                <w:lang w:eastAsia="es-ES"/>
              </w:rPr>
              <w:t>Tratándose de gastos de mantenimiento de bienes muebles, para el pago correspondiente se deberán proporcionar los datos siguientes: relación detallada de los trabajos realizados, marca, número de inventario, firma de conformidad del servicio y en su caso número de serie, así como una orden de servicio que detalle los servicios solicitados y realizados.</w:t>
            </w:r>
          </w:p>
          <w:p w:rsidR="00C2045F" w:rsidRPr="00C2045F"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lastRenderedPageBreak/>
              <w:t>21.-</w:t>
            </w:r>
            <w:r w:rsidRPr="00C2045F">
              <w:rPr>
                <w:rFonts w:ascii="Geneva" w:eastAsia="Times New Roman" w:hAnsi="Geneva" w:cs="Times New Roman"/>
                <w:sz w:val="20"/>
                <w:szCs w:val="20"/>
                <w:lang w:eastAsia="es-ES"/>
              </w:rPr>
              <w:t xml:space="preserve"> En el caso de gastos de servicio mayor de vehículos, bienes muebles o inmuebles, se deberá anexar: por lo menos tres cotizaciones; material fotográfico; cuadro comparativo correspondiente firmado por el encargado del departamento de mantenimiento e instalaciones </w:t>
            </w:r>
            <w:proofErr w:type="gramStart"/>
            <w:r w:rsidRPr="00C2045F">
              <w:rPr>
                <w:rFonts w:ascii="Geneva" w:eastAsia="Times New Roman" w:hAnsi="Geneva" w:cs="Times New Roman"/>
                <w:sz w:val="20"/>
                <w:szCs w:val="20"/>
                <w:lang w:eastAsia="es-ES"/>
              </w:rPr>
              <w:t>y  en</w:t>
            </w:r>
            <w:proofErr w:type="gramEnd"/>
            <w:r w:rsidRPr="00C2045F">
              <w:rPr>
                <w:rFonts w:ascii="Geneva" w:eastAsia="Times New Roman" w:hAnsi="Geneva" w:cs="Times New Roman"/>
                <w:sz w:val="20"/>
                <w:szCs w:val="20"/>
                <w:lang w:eastAsia="es-ES"/>
              </w:rPr>
              <w:t xml:space="preserve"> su caso contrato de servicio y acta de entrega – recepción.</w:t>
            </w:r>
          </w:p>
          <w:p w:rsidR="00C2045F" w:rsidRPr="00C2045F" w:rsidRDefault="00C2045F" w:rsidP="00C2045F">
            <w:pPr>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Contratación de servicios externos</w:t>
            </w:r>
          </w:p>
          <w:p w:rsidR="00C2045F" w:rsidRPr="00C2045F"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22</w:t>
            </w:r>
            <w:r w:rsidRPr="00C2045F">
              <w:rPr>
                <w:rFonts w:ascii="Geneva" w:eastAsia="Times New Roman" w:hAnsi="Geneva" w:cs="Times New Roman"/>
                <w:sz w:val="20"/>
                <w:szCs w:val="20"/>
                <w:lang w:eastAsia="es-ES"/>
              </w:rPr>
              <w:t>.- Las contrataciones de asesorías, estudios e investigaciones, que se lleven a cabo con personas físicas o morales, deberán estar plenamente identificadas y en ningún caso se desempeñarán funciones iguales o equivalentes a las del personal que conforma la plantilla de personal.</w:t>
            </w:r>
          </w:p>
          <w:p w:rsidR="00C2045F" w:rsidRPr="00C2045F" w:rsidRDefault="00C2045F" w:rsidP="00817EEE">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23.-</w:t>
            </w:r>
            <w:r w:rsidRPr="00C2045F">
              <w:rPr>
                <w:rFonts w:ascii="Geneva" w:eastAsia="Times New Roman" w:hAnsi="Geneva" w:cs="Times New Roman"/>
                <w:sz w:val="20"/>
                <w:szCs w:val="20"/>
                <w:lang w:eastAsia="es-ES"/>
              </w:rPr>
              <w:t xml:space="preserve"> Los servicios externos contratados, deberán contar con un contrato, el cual deberá contener entre otros aspectos la especificación de las actividades que se llevarán a cabo y dejando en claro la NO existencia de una relación laboral.</w:t>
            </w:r>
          </w:p>
          <w:p w:rsidR="00C2045F" w:rsidRPr="00C2045F" w:rsidRDefault="00C2045F" w:rsidP="00C2045F">
            <w:pPr>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Viáticos y pasajes</w:t>
            </w:r>
          </w:p>
          <w:p w:rsidR="00C2045F" w:rsidRPr="00C2045F" w:rsidRDefault="00C2045F" w:rsidP="0032500B">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 xml:space="preserve">24.- </w:t>
            </w:r>
            <w:r w:rsidRPr="00C2045F">
              <w:rPr>
                <w:rFonts w:ascii="Geneva" w:eastAsia="Times New Roman" w:hAnsi="Geneva" w:cs="Times New Roman"/>
                <w:sz w:val="20"/>
                <w:szCs w:val="20"/>
                <w:lang w:eastAsia="es-ES"/>
              </w:rPr>
              <w:t>El pago de viáticos y pasajes para el desempeño de comisiones de trabajo, se sujetará a lo siguiente:</w:t>
            </w:r>
          </w:p>
          <w:p w:rsidR="00C2045F" w:rsidRPr="00C2045F" w:rsidRDefault="00C2045F" w:rsidP="0032500B">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 xml:space="preserve">I. Se cubrirá el pago de gastos de viaje exclusivamente al personal que integra la plantilla de personal, siendo el comisionado, responsable de presentar el </w:t>
            </w:r>
            <w:hyperlink r:id="rId7" w:tgtFrame="_blank" w:history="1">
              <w:r w:rsidRPr="00C2045F">
                <w:rPr>
                  <w:rFonts w:ascii="Geneva" w:eastAsia="Times New Roman" w:hAnsi="Geneva" w:cs="Times New Roman"/>
                  <w:b/>
                  <w:bCs/>
                  <w:color w:val="006633"/>
                  <w:sz w:val="20"/>
                  <w:szCs w:val="20"/>
                  <w:lang w:eastAsia="es-ES"/>
                </w:rPr>
                <w:t>“Pliego de Comisión”</w:t>
              </w:r>
            </w:hyperlink>
            <w:r w:rsidRPr="00C2045F">
              <w:rPr>
                <w:rFonts w:ascii="Geneva" w:eastAsia="Times New Roman" w:hAnsi="Geneva" w:cs="Times New Roman"/>
                <w:sz w:val="20"/>
                <w:szCs w:val="20"/>
                <w:lang w:eastAsia="es-ES"/>
              </w:rPr>
              <w:t xml:space="preserve"> y la documentación comprobatoria original de los gastos realizados, mismos que estarán sujetos a las tarifas de viáticos nacionales enunciadas a continuación.</w:t>
            </w:r>
          </w:p>
          <w:p w:rsidR="00C2045F" w:rsidRPr="00C2045F" w:rsidRDefault="00C2045F" w:rsidP="00C2045F">
            <w:pPr>
              <w:spacing w:before="100" w:beforeAutospacing="1" w:after="100" w:afterAutospacing="1" w:line="240" w:lineRule="auto"/>
              <w:jc w:val="center"/>
              <w:rPr>
                <w:rFonts w:ascii="Geneva" w:eastAsia="Times New Roman" w:hAnsi="Geneva" w:cs="Times New Roman"/>
                <w:b/>
                <w:bCs/>
                <w:sz w:val="20"/>
                <w:szCs w:val="20"/>
                <w:lang w:eastAsia="es-ES"/>
              </w:rPr>
            </w:pPr>
            <w:r w:rsidRPr="00C2045F">
              <w:rPr>
                <w:rFonts w:ascii="Geneva" w:eastAsia="Times New Roman" w:hAnsi="Geneva" w:cs="Times New Roman"/>
                <w:b/>
                <w:bCs/>
                <w:sz w:val="20"/>
                <w:szCs w:val="20"/>
                <w:lang w:eastAsia="es-ES"/>
              </w:rPr>
              <w:t xml:space="preserve">TARIFAS DE VIÁTICOS NACIONALES </w:t>
            </w:r>
            <w:r w:rsidRPr="00C2045F">
              <w:rPr>
                <w:rFonts w:ascii="Geneva" w:eastAsia="Times New Roman" w:hAnsi="Geneva" w:cs="Times New Roman"/>
                <w:b/>
                <w:bCs/>
                <w:sz w:val="20"/>
                <w:szCs w:val="20"/>
                <w:lang w:eastAsia="es-ES"/>
              </w:rPr>
              <w:br/>
              <w:t>(Pesos  M.N.)</w:t>
            </w:r>
          </w:p>
          <w:tbl>
            <w:tblPr>
              <w:tblW w:w="1141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8"/>
              <w:gridCol w:w="1058"/>
              <w:gridCol w:w="1047"/>
              <w:gridCol w:w="2183"/>
              <w:gridCol w:w="2164"/>
              <w:gridCol w:w="1674"/>
              <w:gridCol w:w="1861"/>
            </w:tblGrid>
            <w:tr w:rsidR="001F7567" w:rsidRPr="00C2045F" w:rsidTr="001F7567">
              <w:trPr>
                <w:trHeight w:val="81"/>
                <w:tblCellSpacing w:w="0" w:type="dxa"/>
                <w:jc w:val="center"/>
              </w:trPr>
              <w:tc>
                <w:tcPr>
                  <w:tcW w:w="1520" w:type="dxa"/>
                  <w:vMerge w:val="restart"/>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lang w:eastAsia="es-ES"/>
                    </w:rPr>
                    <w:t>NIVEL DE APLICACIÓN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lang w:eastAsia="es-ES"/>
                    </w:rPr>
                    <w:t>ZONA I</w:t>
                  </w:r>
                  <w:r w:rsidRPr="00C2045F">
                    <w:rPr>
                      <w:rFonts w:ascii="Geneva" w:eastAsia="Times New Roman" w:hAnsi="Geneva" w:cs="Times New Roman"/>
                      <w:sz w:val="20"/>
                      <w:szCs w:val="20"/>
                      <w:lang w:eastAsia="es-ES"/>
                    </w:rPr>
                    <w:t>: Estado de Hidalgo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lang w:eastAsia="es-ES"/>
                    </w:rPr>
                    <w:t>ZONA II</w:t>
                  </w:r>
                  <w:r w:rsidRPr="00C2045F">
                    <w:rPr>
                      <w:rFonts w:ascii="Geneva" w:eastAsia="Times New Roman" w:hAnsi="Geneva" w:cs="Times New Roman"/>
                      <w:sz w:val="20"/>
                      <w:szCs w:val="20"/>
                      <w:lang w:eastAsia="es-ES"/>
                    </w:rPr>
                    <w:t>: D.F., Puebla, Tlaxcala, Edo. de México, Morelos y Querétaro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lang w:eastAsia="es-ES"/>
                    </w:rPr>
                    <w:t>ZONA III</w:t>
                  </w:r>
                  <w:r w:rsidRPr="00C2045F">
                    <w:rPr>
                      <w:rFonts w:ascii="Geneva" w:eastAsia="Times New Roman" w:hAnsi="Geneva" w:cs="Times New Roman"/>
                      <w:sz w:val="20"/>
                      <w:szCs w:val="20"/>
                      <w:lang w:eastAsia="es-ES"/>
                    </w:rPr>
                    <w:t xml:space="preserve">: Estados no contemplados en las Zonas I </w:t>
                  </w:r>
                  <w:proofErr w:type="spellStart"/>
                  <w:r w:rsidRPr="00C2045F">
                    <w:rPr>
                      <w:rFonts w:ascii="Geneva" w:eastAsia="Times New Roman" w:hAnsi="Geneva" w:cs="Times New Roman"/>
                      <w:sz w:val="20"/>
                      <w:szCs w:val="20"/>
                      <w:lang w:eastAsia="es-ES"/>
                    </w:rPr>
                    <w:t>ó</w:t>
                  </w:r>
                  <w:proofErr w:type="spellEnd"/>
                  <w:r w:rsidRPr="00C2045F">
                    <w:rPr>
                      <w:rFonts w:ascii="Geneva" w:eastAsia="Times New Roman" w:hAnsi="Geneva" w:cs="Times New Roman"/>
                      <w:sz w:val="20"/>
                      <w:szCs w:val="20"/>
                      <w:lang w:eastAsia="es-ES"/>
                    </w:rPr>
                    <w:t xml:space="preserve"> II</w:t>
                  </w:r>
                </w:p>
              </w:tc>
            </w:tr>
            <w:tr w:rsidR="001F7567" w:rsidRPr="00C2045F" w:rsidTr="001F7567">
              <w:trPr>
                <w:trHeight w:val="8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after="0" w:line="240" w:lineRule="auto"/>
                    <w:rPr>
                      <w:rFonts w:ascii="Geneva" w:eastAsia="Times New Roman" w:hAnsi="Geneva" w:cs="Times New Roman"/>
                      <w:sz w:val="20"/>
                      <w:szCs w:val="20"/>
                      <w:lang w:eastAsia="es-ES"/>
                    </w:rPr>
                  </w:pPr>
                </w:p>
              </w:tc>
              <w:tc>
                <w:tcPr>
                  <w:tcW w:w="1084"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lang w:eastAsia="es-ES"/>
                    </w:rPr>
                    <w:t>TARIFA I</w:t>
                  </w:r>
                  <w:r w:rsidRPr="00C2045F">
                    <w:rPr>
                      <w:rFonts w:ascii="Geneva" w:eastAsia="Times New Roman" w:hAnsi="Geneva" w:cs="Times New Roman"/>
                      <w:sz w:val="20"/>
                      <w:szCs w:val="20"/>
                      <w:lang w:eastAsia="es-ES"/>
                    </w:rPr>
                    <w:t xml:space="preserve"> Menores a 24 </w:t>
                  </w:r>
                  <w:proofErr w:type="spellStart"/>
                  <w:r w:rsidRPr="00C2045F">
                    <w:rPr>
                      <w:rFonts w:ascii="Geneva" w:eastAsia="Times New Roman" w:hAnsi="Geneva" w:cs="Times New Roman"/>
                      <w:sz w:val="20"/>
                      <w:szCs w:val="20"/>
                      <w:lang w:eastAsia="es-ES"/>
                    </w:rPr>
                    <w:t>Hrs</w:t>
                  </w:r>
                  <w:proofErr w:type="spellEnd"/>
                  <w:r w:rsidRPr="00C2045F">
                    <w:rPr>
                      <w:rFonts w:ascii="Geneva" w:eastAsia="Times New Roman" w:hAnsi="Geneva" w:cs="Times New Roman"/>
                      <w:sz w:val="20"/>
                      <w:szCs w:val="20"/>
                      <w:lang w:eastAsia="es-ES"/>
                    </w:rPr>
                    <w:t>.</w:t>
                  </w:r>
                </w:p>
              </w:tc>
              <w:tc>
                <w:tcPr>
                  <w:tcW w:w="1076"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lang w:eastAsia="es-ES"/>
                    </w:rPr>
                    <w:t>TARIFA II</w:t>
                  </w:r>
                  <w:r w:rsidRPr="00C2045F">
                    <w:rPr>
                      <w:rFonts w:ascii="Geneva" w:eastAsia="Times New Roman" w:hAnsi="Geneva" w:cs="Times New Roman"/>
                      <w:sz w:val="20"/>
                      <w:szCs w:val="20"/>
                      <w:lang w:eastAsia="es-ES"/>
                    </w:rPr>
                    <w:t xml:space="preserve"> Mayores a 24 </w:t>
                  </w:r>
                  <w:proofErr w:type="spellStart"/>
                  <w:r w:rsidRPr="00C2045F">
                    <w:rPr>
                      <w:rFonts w:ascii="Geneva" w:eastAsia="Times New Roman" w:hAnsi="Geneva" w:cs="Times New Roman"/>
                      <w:sz w:val="20"/>
                      <w:szCs w:val="20"/>
                      <w:lang w:eastAsia="es-ES"/>
                    </w:rPr>
                    <w:t>Hrs</w:t>
                  </w:r>
                  <w:proofErr w:type="spellEnd"/>
                  <w:r w:rsidRPr="00C2045F">
                    <w:rPr>
                      <w:rFonts w:ascii="Geneva" w:eastAsia="Times New Roman" w:hAnsi="Geneva" w:cs="Times New Roman"/>
                      <w:sz w:val="20"/>
                      <w:szCs w:val="20"/>
                      <w:lang w:eastAsia="es-ES"/>
                    </w:rPr>
                    <w:t>.</w:t>
                  </w:r>
                </w:p>
              </w:tc>
              <w:tc>
                <w:tcPr>
                  <w:tcW w:w="2108"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lang w:eastAsia="es-ES"/>
                    </w:rPr>
                    <w:t>TARIFA I</w:t>
                  </w:r>
                  <w:r w:rsidRPr="00C2045F">
                    <w:rPr>
                      <w:rFonts w:ascii="Geneva" w:eastAsia="Times New Roman" w:hAnsi="Geneva" w:cs="Times New Roman"/>
                      <w:sz w:val="20"/>
                      <w:szCs w:val="20"/>
                      <w:lang w:eastAsia="es-ES"/>
                    </w:rPr>
                    <w:t xml:space="preserve"> Menores a 24 </w:t>
                  </w:r>
                  <w:proofErr w:type="spellStart"/>
                  <w:r w:rsidRPr="00C2045F">
                    <w:rPr>
                      <w:rFonts w:ascii="Geneva" w:eastAsia="Times New Roman" w:hAnsi="Geneva" w:cs="Times New Roman"/>
                      <w:sz w:val="20"/>
                      <w:szCs w:val="20"/>
                      <w:lang w:eastAsia="es-ES"/>
                    </w:rPr>
                    <w:t>Hrs</w:t>
                  </w:r>
                  <w:proofErr w:type="spellEnd"/>
                  <w:r w:rsidRPr="00C2045F">
                    <w:rPr>
                      <w:rFonts w:ascii="Geneva" w:eastAsia="Times New Roman" w:hAnsi="Geneva" w:cs="Times New Roman"/>
                      <w:sz w:val="20"/>
                      <w:szCs w:val="20"/>
                      <w:lang w:eastAsia="es-ES"/>
                    </w:rPr>
                    <w:t>.</w:t>
                  </w:r>
                </w:p>
              </w:tc>
              <w:tc>
                <w:tcPr>
                  <w:tcW w:w="2092"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lang w:eastAsia="es-ES"/>
                    </w:rPr>
                    <w:t>TARIFA II</w:t>
                  </w:r>
                  <w:r w:rsidRPr="00C2045F">
                    <w:rPr>
                      <w:rFonts w:ascii="Geneva" w:eastAsia="Times New Roman" w:hAnsi="Geneva" w:cs="Times New Roman"/>
                      <w:sz w:val="20"/>
                      <w:szCs w:val="20"/>
                      <w:lang w:eastAsia="es-ES"/>
                    </w:rPr>
                    <w:t xml:space="preserve"> Mayores a 24 </w:t>
                  </w:r>
                  <w:proofErr w:type="spellStart"/>
                  <w:r w:rsidRPr="00C2045F">
                    <w:rPr>
                      <w:rFonts w:ascii="Geneva" w:eastAsia="Times New Roman" w:hAnsi="Geneva" w:cs="Times New Roman"/>
                      <w:sz w:val="20"/>
                      <w:szCs w:val="20"/>
                      <w:lang w:eastAsia="es-ES"/>
                    </w:rPr>
                    <w:t>Hrs</w:t>
                  </w:r>
                  <w:proofErr w:type="spellEnd"/>
                  <w:r w:rsidRPr="00C2045F">
                    <w:rPr>
                      <w:rFonts w:ascii="Geneva" w:eastAsia="Times New Roman" w:hAnsi="Geneva" w:cs="Times New Roman"/>
                      <w:sz w:val="20"/>
                      <w:szCs w:val="20"/>
                      <w:lang w:eastAsia="es-ES"/>
                    </w:rPr>
                    <w:t>.</w:t>
                  </w:r>
                </w:p>
              </w:tc>
              <w:tc>
                <w:tcPr>
                  <w:tcW w:w="1652"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lang w:eastAsia="es-ES"/>
                    </w:rPr>
                    <w:t>TARIFA I</w:t>
                  </w:r>
                  <w:r w:rsidRPr="00C2045F">
                    <w:rPr>
                      <w:rFonts w:ascii="Geneva" w:eastAsia="Times New Roman" w:hAnsi="Geneva" w:cs="Times New Roman"/>
                      <w:sz w:val="20"/>
                      <w:szCs w:val="20"/>
                      <w:lang w:eastAsia="es-ES"/>
                    </w:rPr>
                    <w:t xml:space="preserve"> Menores a 24 </w:t>
                  </w:r>
                  <w:proofErr w:type="spellStart"/>
                  <w:r w:rsidRPr="00C2045F">
                    <w:rPr>
                      <w:rFonts w:ascii="Geneva" w:eastAsia="Times New Roman" w:hAnsi="Geneva" w:cs="Times New Roman"/>
                      <w:sz w:val="20"/>
                      <w:szCs w:val="20"/>
                      <w:lang w:eastAsia="es-ES"/>
                    </w:rPr>
                    <w:t>Hrs</w:t>
                  </w:r>
                  <w:proofErr w:type="spellEnd"/>
                  <w:r w:rsidRPr="00C2045F">
                    <w:rPr>
                      <w:rFonts w:ascii="Geneva" w:eastAsia="Times New Roman" w:hAnsi="Geneva" w:cs="Times New Roman"/>
                      <w:sz w:val="20"/>
                      <w:szCs w:val="20"/>
                      <w:lang w:eastAsia="es-ES"/>
                    </w:rPr>
                    <w:t>.</w:t>
                  </w:r>
                </w:p>
              </w:tc>
              <w:tc>
                <w:tcPr>
                  <w:tcW w:w="1883"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lang w:eastAsia="es-ES"/>
                    </w:rPr>
                    <w:t>TARIFA II</w:t>
                  </w:r>
                  <w:r w:rsidRPr="00C2045F">
                    <w:rPr>
                      <w:rFonts w:ascii="Geneva" w:eastAsia="Times New Roman" w:hAnsi="Geneva" w:cs="Times New Roman"/>
                      <w:sz w:val="20"/>
                      <w:szCs w:val="20"/>
                      <w:lang w:eastAsia="es-ES"/>
                    </w:rPr>
                    <w:t xml:space="preserve"> Mayores a 24 </w:t>
                  </w:r>
                  <w:proofErr w:type="spellStart"/>
                  <w:r w:rsidRPr="00C2045F">
                    <w:rPr>
                      <w:rFonts w:ascii="Geneva" w:eastAsia="Times New Roman" w:hAnsi="Geneva" w:cs="Times New Roman"/>
                      <w:sz w:val="20"/>
                      <w:szCs w:val="20"/>
                      <w:lang w:eastAsia="es-ES"/>
                    </w:rPr>
                    <w:t>Hrs</w:t>
                  </w:r>
                  <w:proofErr w:type="spellEnd"/>
                  <w:r w:rsidRPr="00C2045F">
                    <w:rPr>
                      <w:rFonts w:ascii="Geneva" w:eastAsia="Times New Roman" w:hAnsi="Geneva" w:cs="Times New Roman"/>
                      <w:sz w:val="20"/>
                      <w:szCs w:val="20"/>
                      <w:lang w:eastAsia="es-ES"/>
                    </w:rPr>
                    <w:t>.</w:t>
                  </w:r>
                </w:p>
              </w:tc>
            </w:tr>
            <w:tr w:rsidR="001F7567" w:rsidRPr="00C2045F" w:rsidTr="001F7567">
              <w:trPr>
                <w:trHeight w:val="81"/>
                <w:tblCellSpacing w:w="0" w:type="dxa"/>
                <w:jc w:val="center"/>
              </w:trPr>
              <w:tc>
                <w:tcPr>
                  <w:tcW w:w="1520"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“A” Directores</w:t>
                  </w:r>
                </w:p>
              </w:tc>
              <w:tc>
                <w:tcPr>
                  <w:tcW w:w="1084"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100.00</w:t>
                  </w:r>
                </w:p>
              </w:tc>
              <w:tc>
                <w:tcPr>
                  <w:tcW w:w="1076"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500.00</w:t>
                  </w:r>
                </w:p>
              </w:tc>
              <w:tc>
                <w:tcPr>
                  <w:tcW w:w="2108"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150.00</w:t>
                  </w:r>
                </w:p>
              </w:tc>
              <w:tc>
                <w:tcPr>
                  <w:tcW w:w="2092"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600.00</w:t>
                  </w:r>
                </w:p>
              </w:tc>
              <w:tc>
                <w:tcPr>
                  <w:tcW w:w="1652"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150.00</w:t>
                  </w:r>
                </w:p>
              </w:tc>
              <w:tc>
                <w:tcPr>
                  <w:tcW w:w="1883"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1,000.00</w:t>
                  </w:r>
                </w:p>
              </w:tc>
            </w:tr>
            <w:tr w:rsidR="001F7567" w:rsidRPr="00C2045F" w:rsidTr="001F7567">
              <w:trPr>
                <w:trHeight w:val="81"/>
                <w:tblCellSpacing w:w="0" w:type="dxa"/>
                <w:jc w:val="center"/>
              </w:trPr>
              <w:tc>
                <w:tcPr>
                  <w:tcW w:w="1520"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“B” Docentes y Jefes de Departamento</w:t>
                  </w:r>
                </w:p>
              </w:tc>
              <w:tc>
                <w:tcPr>
                  <w:tcW w:w="1084"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85.00</w:t>
                  </w:r>
                </w:p>
              </w:tc>
              <w:tc>
                <w:tcPr>
                  <w:tcW w:w="1076"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420.00</w:t>
                  </w:r>
                </w:p>
              </w:tc>
              <w:tc>
                <w:tcPr>
                  <w:tcW w:w="2108"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100.00</w:t>
                  </w:r>
                </w:p>
              </w:tc>
              <w:tc>
                <w:tcPr>
                  <w:tcW w:w="2092"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480.00</w:t>
                  </w:r>
                </w:p>
              </w:tc>
              <w:tc>
                <w:tcPr>
                  <w:tcW w:w="1652"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100.00</w:t>
                  </w:r>
                </w:p>
              </w:tc>
              <w:tc>
                <w:tcPr>
                  <w:tcW w:w="1883"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800.00</w:t>
                  </w:r>
                </w:p>
              </w:tc>
            </w:tr>
            <w:tr w:rsidR="001F7567" w:rsidRPr="00C2045F" w:rsidTr="001F7567">
              <w:trPr>
                <w:trHeight w:val="81"/>
                <w:tblCellSpacing w:w="0" w:type="dxa"/>
                <w:jc w:val="center"/>
              </w:trPr>
              <w:tc>
                <w:tcPr>
                  <w:tcW w:w="1520"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“C” Personal de apoyo</w:t>
                  </w:r>
                </w:p>
              </w:tc>
              <w:tc>
                <w:tcPr>
                  <w:tcW w:w="1084"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75.00</w:t>
                  </w:r>
                </w:p>
              </w:tc>
              <w:tc>
                <w:tcPr>
                  <w:tcW w:w="1076"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360.00</w:t>
                  </w:r>
                </w:p>
              </w:tc>
              <w:tc>
                <w:tcPr>
                  <w:tcW w:w="2108"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85.00</w:t>
                  </w:r>
                </w:p>
              </w:tc>
              <w:tc>
                <w:tcPr>
                  <w:tcW w:w="2092"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400.00</w:t>
                  </w:r>
                </w:p>
              </w:tc>
              <w:tc>
                <w:tcPr>
                  <w:tcW w:w="1652"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85.00</w:t>
                  </w:r>
                </w:p>
              </w:tc>
              <w:tc>
                <w:tcPr>
                  <w:tcW w:w="1883"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500.00</w:t>
                  </w:r>
                </w:p>
              </w:tc>
            </w:tr>
          </w:tbl>
          <w:p w:rsidR="00C2045F" w:rsidRPr="00C2045F" w:rsidRDefault="00C2045F" w:rsidP="00715A03">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 xml:space="preserve">Notas: </w:t>
            </w:r>
          </w:p>
          <w:p w:rsidR="00C2045F" w:rsidRPr="00C2045F" w:rsidRDefault="00C2045F" w:rsidP="00715A03">
            <w:pPr>
              <w:numPr>
                <w:ilvl w:val="0"/>
                <w:numId w:val="2"/>
              </w:num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 xml:space="preserve">NO se pagarán viáticos por las comisiones de trabajo a los municipios de: Ixmiquilpan, </w:t>
            </w:r>
            <w:proofErr w:type="spellStart"/>
            <w:r w:rsidRPr="00C2045F">
              <w:rPr>
                <w:rFonts w:ascii="Geneva" w:eastAsia="Times New Roman" w:hAnsi="Geneva" w:cs="Times New Roman"/>
                <w:sz w:val="20"/>
                <w:szCs w:val="20"/>
                <w:lang w:eastAsia="es-ES"/>
              </w:rPr>
              <w:t>Tasquillo</w:t>
            </w:r>
            <w:proofErr w:type="spellEnd"/>
            <w:r w:rsidRPr="00C2045F">
              <w:rPr>
                <w:rFonts w:ascii="Geneva" w:eastAsia="Times New Roman" w:hAnsi="Geneva" w:cs="Times New Roman"/>
                <w:sz w:val="20"/>
                <w:szCs w:val="20"/>
                <w:lang w:eastAsia="es-ES"/>
              </w:rPr>
              <w:t xml:space="preserve">, </w:t>
            </w:r>
            <w:proofErr w:type="spellStart"/>
            <w:r w:rsidRPr="00C2045F">
              <w:rPr>
                <w:rFonts w:ascii="Geneva" w:eastAsia="Times New Roman" w:hAnsi="Geneva" w:cs="Times New Roman"/>
                <w:sz w:val="20"/>
                <w:szCs w:val="20"/>
                <w:lang w:eastAsia="es-ES"/>
              </w:rPr>
              <w:t>Zimapán</w:t>
            </w:r>
            <w:proofErr w:type="spellEnd"/>
            <w:r w:rsidRPr="00C2045F">
              <w:rPr>
                <w:rFonts w:ascii="Geneva" w:eastAsia="Times New Roman" w:hAnsi="Geneva" w:cs="Times New Roman"/>
                <w:sz w:val="20"/>
                <w:szCs w:val="20"/>
                <w:lang w:eastAsia="es-ES"/>
              </w:rPr>
              <w:t xml:space="preserve">, Progreso, Cardonal, Actopan, </w:t>
            </w:r>
            <w:proofErr w:type="spellStart"/>
            <w:r w:rsidRPr="00C2045F">
              <w:rPr>
                <w:rFonts w:ascii="Geneva" w:eastAsia="Times New Roman" w:hAnsi="Geneva" w:cs="Times New Roman"/>
                <w:sz w:val="20"/>
                <w:szCs w:val="20"/>
                <w:lang w:eastAsia="es-ES"/>
              </w:rPr>
              <w:t>Alfajayucan</w:t>
            </w:r>
            <w:proofErr w:type="spellEnd"/>
            <w:r w:rsidRPr="00C2045F">
              <w:rPr>
                <w:rFonts w:ascii="Geneva" w:eastAsia="Times New Roman" w:hAnsi="Geneva" w:cs="Times New Roman"/>
                <w:sz w:val="20"/>
                <w:szCs w:val="20"/>
                <w:lang w:eastAsia="es-ES"/>
              </w:rPr>
              <w:t xml:space="preserve">, El Arenal, </w:t>
            </w:r>
            <w:proofErr w:type="spellStart"/>
            <w:r w:rsidRPr="00C2045F">
              <w:rPr>
                <w:rFonts w:ascii="Geneva" w:eastAsia="Times New Roman" w:hAnsi="Geneva" w:cs="Times New Roman"/>
                <w:sz w:val="20"/>
                <w:szCs w:val="20"/>
                <w:lang w:eastAsia="es-ES"/>
              </w:rPr>
              <w:t>Chapantongo</w:t>
            </w:r>
            <w:proofErr w:type="spellEnd"/>
            <w:r w:rsidRPr="00C2045F">
              <w:rPr>
                <w:rFonts w:ascii="Geneva" w:eastAsia="Times New Roman" w:hAnsi="Geneva" w:cs="Times New Roman"/>
                <w:sz w:val="20"/>
                <w:szCs w:val="20"/>
                <w:lang w:eastAsia="es-ES"/>
              </w:rPr>
              <w:t xml:space="preserve">, </w:t>
            </w:r>
            <w:proofErr w:type="spellStart"/>
            <w:r w:rsidRPr="00C2045F">
              <w:rPr>
                <w:rFonts w:ascii="Geneva" w:eastAsia="Times New Roman" w:hAnsi="Geneva" w:cs="Times New Roman"/>
                <w:sz w:val="20"/>
                <w:szCs w:val="20"/>
                <w:lang w:eastAsia="es-ES"/>
              </w:rPr>
              <w:t>Chilcuautla</w:t>
            </w:r>
            <w:proofErr w:type="spellEnd"/>
            <w:r w:rsidRPr="00C2045F">
              <w:rPr>
                <w:rFonts w:ascii="Geneva" w:eastAsia="Times New Roman" w:hAnsi="Geneva" w:cs="Times New Roman"/>
                <w:sz w:val="20"/>
                <w:szCs w:val="20"/>
                <w:lang w:eastAsia="es-ES"/>
              </w:rPr>
              <w:t xml:space="preserve">, Francisco I. Madero, San Salvador, Santiago de Anaya, </w:t>
            </w:r>
            <w:proofErr w:type="spellStart"/>
            <w:r w:rsidRPr="00C2045F">
              <w:rPr>
                <w:rFonts w:ascii="Geneva" w:eastAsia="Times New Roman" w:hAnsi="Geneva" w:cs="Times New Roman"/>
                <w:sz w:val="20"/>
                <w:szCs w:val="20"/>
                <w:lang w:eastAsia="es-ES"/>
              </w:rPr>
              <w:t>Tezontepec</w:t>
            </w:r>
            <w:proofErr w:type="spellEnd"/>
            <w:r w:rsidRPr="00C2045F">
              <w:rPr>
                <w:rFonts w:ascii="Geneva" w:eastAsia="Times New Roman" w:hAnsi="Geneva" w:cs="Times New Roman"/>
                <w:sz w:val="20"/>
                <w:szCs w:val="20"/>
                <w:lang w:eastAsia="es-ES"/>
              </w:rPr>
              <w:t xml:space="preserve"> de Aldama, </w:t>
            </w:r>
            <w:proofErr w:type="spellStart"/>
            <w:r w:rsidRPr="00C2045F">
              <w:rPr>
                <w:rFonts w:ascii="Geneva" w:eastAsia="Times New Roman" w:hAnsi="Geneva" w:cs="Times New Roman"/>
                <w:sz w:val="20"/>
                <w:szCs w:val="20"/>
                <w:lang w:eastAsia="es-ES"/>
              </w:rPr>
              <w:t>Tlahuelilpan</w:t>
            </w:r>
            <w:proofErr w:type="spellEnd"/>
            <w:r w:rsidRPr="00C2045F">
              <w:rPr>
                <w:rFonts w:ascii="Geneva" w:eastAsia="Times New Roman" w:hAnsi="Geneva" w:cs="Times New Roman"/>
                <w:sz w:val="20"/>
                <w:szCs w:val="20"/>
                <w:lang w:eastAsia="es-ES"/>
              </w:rPr>
              <w:t xml:space="preserve"> y Mixquiahuala, los cuales se encuentran a una distancia menor a los 50 kilómetros a la redonda de esta Universidad. Procederá pago de viáticos cuando el personal sea comisionado a atender asuntos en más de dos de los municipios mencionados anteriormente o el horario de comisión sea superior a la jornada de trabajo. </w:t>
            </w:r>
          </w:p>
          <w:p w:rsidR="00C2045F" w:rsidRPr="00C2045F" w:rsidRDefault="00C2045F" w:rsidP="00715A03">
            <w:pPr>
              <w:numPr>
                <w:ilvl w:val="0"/>
                <w:numId w:val="2"/>
              </w:num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 xml:space="preserve">Las tarifas menores a 24 horas incluyen únicamente el pago de alimentos. </w:t>
            </w:r>
          </w:p>
          <w:p w:rsidR="00C2045F" w:rsidRPr="00C2045F" w:rsidRDefault="00C2045F" w:rsidP="00715A03">
            <w:pPr>
              <w:numPr>
                <w:ilvl w:val="0"/>
                <w:numId w:val="2"/>
              </w:num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 xml:space="preserve">Las tarifas mayores a 24 horas incluyen el pago de alimentos y hospedaje. </w:t>
            </w:r>
          </w:p>
          <w:p w:rsidR="00C2045F" w:rsidRPr="00C2045F" w:rsidRDefault="00C2045F" w:rsidP="00715A03">
            <w:pPr>
              <w:numPr>
                <w:ilvl w:val="0"/>
                <w:numId w:val="2"/>
              </w:num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 xml:space="preserve">En el caso de las comisiones iguales o superiores a 24 horas por las cuales no presenten comprobantes del pago de hospedaje, se cubrirá por concepto de alimentos únicamente el 50% de la tarifa aplicable. </w:t>
            </w:r>
          </w:p>
          <w:p w:rsidR="00C2045F" w:rsidRPr="00C2045F" w:rsidRDefault="00C2045F" w:rsidP="00715A03">
            <w:pPr>
              <w:spacing w:before="100" w:beforeAutospacing="1" w:after="100" w:afterAutospacing="1" w:line="240" w:lineRule="auto"/>
              <w:ind w:left="720"/>
              <w:jc w:val="both"/>
              <w:rPr>
                <w:rFonts w:ascii="Times New Roman" w:eastAsia="Times New Roman" w:hAnsi="Times New Roman" w:cs="Times New Roman"/>
                <w:sz w:val="24"/>
                <w:szCs w:val="24"/>
                <w:lang w:eastAsia="es-ES"/>
              </w:rPr>
            </w:pPr>
            <w:r w:rsidRPr="00C2045F">
              <w:rPr>
                <w:rFonts w:ascii="Geneva" w:eastAsia="Times New Roman" w:hAnsi="Geneva" w:cs="Times New Roman"/>
                <w:sz w:val="20"/>
                <w:lang w:eastAsia="es-ES"/>
              </w:rPr>
              <w:t>II. Para el desempeño de comisiones, se deberá reducir el número de integrantes y de días al estrictamente necesario para la atención de los asuntos de su competencia.</w:t>
            </w:r>
          </w:p>
          <w:p w:rsidR="00C2045F" w:rsidRPr="00C2045F" w:rsidRDefault="00C2045F" w:rsidP="00B22EF0">
            <w:pPr>
              <w:spacing w:before="100" w:beforeAutospacing="1" w:after="100" w:afterAutospacing="1" w:line="240" w:lineRule="auto"/>
              <w:ind w:left="720"/>
              <w:jc w:val="both"/>
              <w:rPr>
                <w:rFonts w:ascii="Times New Roman" w:eastAsia="Times New Roman" w:hAnsi="Times New Roman" w:cs="Times New Roman"/>
                <w:sz w:val="24"/>
                <w:szCs w:val="24"/>
                <w:lang w:eastAsia="es-ES"/>
              </w:rPr>
            </w:pPr>
            <w:r w:rsidRPr="00C2045F">
              <w:rPr>
                <w:rFonts w:ascii="Geneva" w:eastAsia="Times New Roman" w:hAnsi="Geneva" w:cs="Times New Roman"/>
                <w:sz w:val="20"/>
                <w:lang w:eastAsia="es-ES"/>
              </w:rPr>
              <w:t xml:space="preserve">III. Para la comprobación de gastos se contará con </w:t>
            </w:r>
            <w:r w:rsidR="009F1FA7">
              <w:rPr>
                <w:rFonts w:ascii="Geneva" w:eastAsia="Times New Roman" w:hAnsi="Geneva" w:cs="Times New Roman"/>
                <w:sz w:val="20"/>
                <w:lang w:eastAsia="es-ES"/>
              </w:rPr>
              <w:t>cinco</w:t>
            </w:r>
            <w:r w:rsidRPr="00C2045F">
              <w:rPr>
                <w:rFonts w:ascii="Geneva" w:eastAsia="Times New Roman" w:hAnsi="Geneva" w:cs="Times New Roman"/>
                <w:sz w:val="20"/>
                <w:lang w:eastAsia="es-ES"/>
              </w:rPr>
              <w:t xml:space="preserve"> días hábiles posteriores a la conclusión de la comisión y se deberá presentar para su pago, el pliego </w:t>
            </w:r>
            <w:r w:rsidRPr="00F95935">
              <w:rPr>
                <w:rFonts w:ascii="Geneva" w:eastAsia="Times New Roman" w:hAnsi="Geneva" w:cs="Times New Roman"/>
                <w:sz w:val="20"/>
                <w:lang w:eastAsia="es-ES"/>
              </w:rPr>
              <w:t xml:space="preserve">de comisión original debidamente </w:t>
            </w:r>
            <w:proofErr w:type="spellStart"/>
            <w:r w:rsidRPr="00F95935">
              <w:rPr>
                <w:rFonts w:ascii="Geneva" w:eastAsia="Times New Roman" w:hAnsi="Geneva" w:cs="Times New Roman"/>
                <w:sz w:val="20"/>
                <w:lang w:eastAsia="es-ES"/>
              </w:rPr>
              <w:t>requisitado</w:t>
            </w:r>
            <w:proofErr w:type="spellEnd"/>
            <w:r w:rsidRPr="00F95935">
              <w:rPr>
                <w:rFonts w:ascii="Geneva" w:eastAsia="Times New Roman" w:hAnsi="Geneva" w:cs="Times New Roman"/>
                <w:sz w:val="20"/>
                <w:lang w:eastAsia="es-ES"/>
              </w:rPr>
              <w:t xml:space="preserve"> que contenga el sello que certifique la estancia en el lugar de la comisión</w:t>
            </w:r>
            <w:r w:rsidR="00715A03" w:rsidRPr="00F95935">
              <w:rPr>
                <w:rFonts w:ascii="Geneva" w:eastAsia="Times New Roman" w:hAnsi="Geneva" w:cs="Times New Roman"/>
                <w:sz w:val="20"/>
                <w:lang w:eastAsia="es-ES"/>
              </w:rPr>
              <w:t>;</w:t>
            </w:r>
            <w:r w:rsidRPr="00F95935">
              <w:rPr>
                <w:rFonts w:ascii="Geneva" w:eastAsia="Times New Roman" w:hAnsi="Geneva" w:cs="Times New Roman"/>
                <w:sz w:val="20"/>
                <w:lang w:eastAsia="es-ES"/>
              </w:rPr>
              <w:t xml:space="preserve"> </w:t>
            </w:r>
            <w:r w:rsidR="00715A03" w:rsidRPr="00F95935">
              <w:rPr>
                <w:rFonts w:ascii="Geneva" w:eastAsia="Times New Roman" w:hAnsi="Geneva" w:cs="Times New Roman"/>
                <w:sz w:val="20"/>
                <w:lang w:eastAsia="es-ES"/>
              </w:rPr>
              <w:t xml:space="preserve"> en el caso de que la dependencia, empresa o lugar al que sea comisionado no proporcione sello; se solicitara </w:t>
            </w:r>
            <w:r w:rsidR="00F95935" w:rsidRPr="00F95935">
              <w:rPr>
                <w:rFonts w:ascii="Geneva" w:eastAsia="Times New Roman" w:hAnsi="Geneva" w:cs="Times New Roman"/>
                <w:sz w:val="20"/>
                <w:lang w:eastAsia="es-ES"/>
              </w:rPr>
              <w:t>la firma de su jefe inmediato para validar</w:t>
            </w:r>
            <w:r w:rsidR="00F95935">
              <w:rPr>
                <w:rFonts w:ascii="Geneva" w:eastAsia="Times New Roman" w:hAnsi="Geneva" w:cs="Times New Roman"/>
                <w:sz w:val="20"/>
                <w:lang w:eastAsia="es-ES"/>
              </w:rPr>
              <w:t xml:space="preserve"> la comisión</w:t>
            </w:r>
            <w:r w:rsidR="00715A03">
              <w:rPr>
                <w:rFonts w:ascii="Geneva" w:eastAsia="Times New Roman" w:hAnsi="Geneva" w:cs="Times New Roman"/>
                <w:sz w:val="20"/>
                <w:lang w:eastAsia="es-ES"/>
              </w:rPr>
              <w:t>,</w:t>
            </w:r>
            <w:r w:rsidR="00715A03" w:rsidRPr="00C2045F">
              <w:rPr>
                <w:rFonts w:ascii="Geneva" w:eastAsia="Times New Roman" w:hAnsi="Geneva" w:cs="Times New Roman"/>
                <w:sz w:val="20"/>
                <w:lang w:eastAsia="es-ES"/>
              </w:rPr>
              <w:t xml:space="preserve"> </w:t>
            </w:r>
            <w:r w:rsidRPr="00C2045F">
              <w:rPr>
                <w:rFonts w:ascii="Geneva" w:eastAsia="Times New Roman" w:hAnsi="Geneva" w:cs="Times New Roman"/>
                <w:sz w:val="20"/>
                <w:lang w:eastAsia="es-ES"/>
              </w:rPr>
              <w:t xml:space="preserve">así como la documentación comprobatoria original (Facturas de alimentos u hospedaje, boletos de pasaje, comprobante de estacionamiento, </w:t>
            </w:r>
            <w:r w:rsidRPr="00C2045F">
              <w:rPr>
                <w:rFonts w:ascii="Geneva" w:eastAsia="Times New Roman" w:hAnsi="Geneva" w:cs="Times New Roman"/>
                <w:sz w:val="20"/>
                <w:lang w:eastAsia="es-ES"/>
              </w:rPr>
              <w:lastRenderedPageBreak/>
              <w:t xml:space="preserve">comprobante de peaje). </w:t>
            </w:r>
            <w:r w:rsidR="00570F12" w:rsidRPr="00AA39F9">
              <w:rPr>
                <w:rFonts w:ascii="Arial" w:eastAsia="Times New Roman" w:hAnsi="Arial" w:cs="Arial"/>
                <w:sz w:val="20"/>
                <w:szCs w:val="20"/>
                <w:lang w:eastAsia="es-MX"/>
              </w:rPr>
              <w:t xml:space="preserve"> En el caso del personal de apoyo adscrito al departamento de Mantenimiento </w:t>
            </w:r>
            <w:r w:rsidR="00570F12">
              <w:rPr>
                <w:rFonts w:ascii="Arial" w:eastAsia="Times New Roman" w:hAnsi="Arial" w:cs="Arial"/>
                <w:sz w:val="20"/>
                <w:szCs w:val="20"/>
                <w:lang w:eastAsia="es-MX"/>
              </w:rPr>
              <w:t xml:space="preserve">e Instalaciones, </w:t>
            </w:r>
            <w:r w:rsidR="00570F12" w:rsidRPr="00AA39F9">
              <w:rPr>
                <w:rFonts w:ascii="Arial" w:eastAsia="Times New Roman" w:hAnsi="Arial" w:cs="Arial"/>
                <w:sz w:val="20"/>
                <w:szCs w:val="20"/>
                <w:lang w:eastAsia="es-MX"/>
              </w:rPr>
              <w:t xml:space="preserve">que realice comisiones de apoyo a terceros (personal y alumnos), deberá realizar su comprobación el último día hábil del mes correspondiente </w:t>
            </w:r>
            <w:r w:rsidR="00570F12">
              <w:rPr>
                <w:rFonts w:ascii="Arial" w:eastAsia="Times New Roman" w:hAnsi="Arial" w:cs="Arial"/>
                <w:sz w:val="20"/>
                <w:szCs w:val="20"/>
                <w:lang w:eastAsia="es-MX"/>
              </w:rPr>
              <w:t>que recibió la ministración del recurso</w:t>
            </w:r>
            <w:r w:rsidR="00570F12" w:rsidRPr="00AA39F9">
              <w:rPr>
                <w:rFonts w:ascii="Arial" w:eastAsia="Times New Roman" w:hAnsi="Arial" w:cs="Arial"/>
                <w:sz w:val="20"/>
                <w:szCs w:val="20"/>
                <w:lang w:eastAsia="es-MX"/>
              </w:rPr>
              <w:t>.</w:t>
            </w:r>
          </w:p>
          <w:p w:rsidR="00C2045F" w:rsidRPr="00C2045F" w:rsidRDefault="00C2045F" w:rsidP="00B22EF0">
            <w:pPr>
              <w:spacing w:before="100" w:beforeAutospacing="1" w:after="100" w:afterAutospacing="1" w:line="240" w:lineRule="auto"/>
              <w:ind w:left="720"/>
              <w:jc w:val="both"/>
              <w:rPr>
                <w:rFonts w:ascii="Times New Roman" w:eastAsia="Times New Roman" w:hAnsi="Times New Roman" w:cs="Times New Roman"/>
                <w:sz w:val="24"/>
                <w:szCs w:val="24"/>
                <w:lang w:eastAsia="es-ES"/>
              </w:rPr>
            </w:pPr>
            <w:r w:rsidRPr="00C2045F">
              <w:rPr>
                <w:rFonts w:ascii="Geneva" w:eastAsia="Times New Roman" w:hAnsi="Geneva" w:cs="Times New Roman"/>
                <w:sz w:val="20"/>
                <w:lang w:eastAsia="es-ES"/>
              </w:rPr>
              <w:t>IV. No se otorgarán viáticos al personal que se encuentre disfrutando de su periodo vacacional o de cualquier tipo de licencia.</w:t>
            </w:r>
          </w:p>
          <w:p w:rsidR="00C2045F" w:rsidRPr="00C2045F" w:rsidRDefault="00C2045F" w:rsidP="00B22EF0">
            <w:pPr>
              <w:spacing w:before="100" w:beforeAutospacing="1" w:after="100" w:afterAutospacing="1" w:line="240" w:lineRule="auto"/>
              <w:ind w:left="720"/>
              <w:jc w:val="both"/>
              <w:rPr>
                <w:rFonts w:ascii="Times New Roman" w:eastAsia="Times New Roman" w:hAnsi="Times New Roman" w:cs="Times New Roman"/>
                <w:sz w:val="24"/>
                <w:szCs w:val="24"/>
                <w:lang w:eastAsia="es-ES"/>
              </w:rPr>
            </w:pPr>
            <w:r w:rsidRPr="00C2045F">
              <w:rPr>
                <w:rFonts w:ascii="Geneva" w:eastAsia="Times New Roman" w:hAnsi="Geneva" w:cs="Times New Roman"/>
                <w:sz w:val="20"/>
                <w:lang w:eastAsia="es-ES"/>
              </w:rPr>
              <w:t xml:space="preserve">V. No se cubrirá el pago de propinas, servicio telefónico, ni bebidas que contengan alcohol. </w:t>
            </w:r>
          </w:p>
          <w:p w:rsidR="00C2045F" w:rsidRPr="00C2045F" w:rsidRDefault="00C2045F" w:rsidP="00B22EF0">
            <w:pPr>
              <w:spacing w:before="100" w:beforeAutospacing="1" w:after="100" w:afterAutospacing="1" w:line="240" w:lineRule="auto"/>
              <w:ind w:left="720"/>
              <w:jc w:val="both"/>
              <w:rPr>
                <w:rFonts w:ascii="Times New Roman" w:eastAsia="Times New Roman" w:hAnsi="Times New Roman" w:cs="Times New Roman"/>
                <w:sz w:val="24"/>
                <w:szCs w:val="24"/>
                <w:lang w:eastAsia="es-ES"/>
              </w:rPr>
            </w:pPr>
            <w:r w:rsidRPr="00C2045F">
              <w:rPr>
                <w:rFonts w:ascii="Geneva" w:eastAsia="Times New Roman" w:hAnsi="Geneva" w:cs="Times New Roman"/>
                <w:sz w:val="20"/>
                <w:lang w:eastAsia="es-ES"/>
              </w:rPr>
              <w:t>VI. Tratándose de pasaje foráneo, ya sea terrestre o aéreo, se utilizará servicio de clase turista y en caso contrario se pagará únicamente el equivalente a una tarifa de clase turista.</w:t>
            </w:r>
          </w:p>
          <w:p w:rsidR="00C2045F" w:rsidRPr="00C2045F" w:rsidRDefault="00C2045F" w:rsidP="00B22EF0">
            <w:pPr>
              <w:spacing w:before="100" w:beforeAutospacing="1" w:after="100" w:afterAutospacing="1" w:line="240" w:lineRule="auto"/>
              <w:ind w:left="720"/>
              <w:jc w:val="both"/>
              <w:rPr>
                <w:rFonts w:ascii="Times New Roman" w:eastAsia="Times New Roman" w:hAnsi="Times New Roman" w:cs="Times New Roman"/>
                <w:sz w:val="24"/>
                <w:szCs w:val="24"/>
                <w:lang w:eastAsia="es-ES"/>
              </w:rPr>
            </w:pPr>
            <w:r w:rsidRPr="00CB10B3">
              <w:rPr>
                <w:rFonts w:ascii="Geneva" w:eastAsia="Times New Roman" w:hAnsi="Geneva" w:cs="Times New Roman"/>
                <w:sz w:val="20"/>
                <w:lang w:eastAsia="es-ES"/>
              </w:rPr>
              <w:t>VII. Los gastos de pasaje en avión, deberán estar previamente autorizados por la Dirección de Administración y Finanzas</w:t>
            </w:r>
            <w:r w:rsidR="00CB10B3" w:rsidRPr="00CB10B3">
              <w:rPr>
                <w:rFonts w:ascii="Geneva" w:eastAsia="Times New Roman" w:hAnsi="Geneva" w:cs="Times New Roman"/>
                <w:sz w:val="20"/>
                <w:lang w:eastAsia="es-ES"/>
              </w:rPr>
              <w:t xml:space="preserve"> o Rectoría</w:t>
            </w:r>
            <w:r w:rsidRPr="00CB10B3">
              <w:rPr>
                <w:rFonts w:ascii="Geneva" w:eastAsia="Times New Roman" w:hAnsi="Geneva" w:cs="Times New Roman"/>
                <w:sz w:val="20"/>
                <w:lang w:eastAsia="es-ES"/>
              </w:rPr>
              <w:t>.</w:t>
            </w:r>
          </w:p>
          <w:p w:rsidR="00C2045F" w:rsidRPr="00C2045F" w:rsidRDefault="00C2045F" w:rsidP="00B22EF0">
            <w:pPr>
              <w:spacing w:before="100" w:beforeAutospacing="1" w:after="100" w:afterAutospacing="1" w:line="240" w:lineRule="auto"/>
              <w:ind w:left="720"/>
              <w:jc w:val="both"/>
              <w:rPr>
                <w:rFonts w:ascii="Times New Roman" w:eastAsia="Times New Roman" w:hAnsi="Times New Roman" w:cs="Times New Roman"/>
                <w:sz w:val="24"/>
                <w:szCs w:val="24"/>
                <w:lang w:eastAsia="es-ES"/>
              </w:rPr>
            </w:pPr>
            <w:r w:rsidRPr="00C2045F">
              <w:rPr>
                <w:rFonts w:ascii="Geneva" w:eastAsia="Times New Roman" w:hAnsi="Geneva" w:cs="Times New Roman"/>
                <w:sz w:val="20"/>
                <w:lang w:eastAsia="es-ES"/>
              </w:rPr>
              <w:t>VIII. Para el traslado local, se deberá utilizar el pasaje colectivo, cuando esto no sea posible por la ubicación de la zona u otra circunstancia justificable, en dichos casos se pagará el uso de taxi. La tarifa máxima diaria que se pagará por el uso de taxis es de $100.00 (Cien pesos 00/100 m.n.) diarios.</w:t>
            </w:r>
          </w:p>
          <w:p w:rsidR="00C2045F" w:rsidRPr="00C2045F" w:rsidRDefault="00C2045F" w:rsidP="00B22EF0">
            <w:pPr>
              <w:spacing w:beforeAutospacing="1" w:after="100" w:afterAutospacing="1" w:line="240" w:lineRule="auto"/>
              <w:jc w:val="both"/>
              <w:rPr>
                <w:rFonts w:ascii="Times New Roman" w:eastAsia="Times New Roman" w:hAnsi="Times New Roman" w:cs="Times New Roman"/>
                <w:sz w:val="24"/>
                <w:szCs w:val="24"/>
                <w:lang w:eastAsia="es-ES"/>
              </w:rPr>
            </w:pPr>
            <w:r w:rsidRPr="00C2045F">
              <w:rPr>
                <w:rFonts w:ascii="Geneva" w:eastAsia="Times New Roman" w:hAnsi="Geneva" w:cs="Times New Roman"/>
                <w:sz w:val="20"/>
                <w:lang w:eastAsia="es-ES"/>
              </w:rPr>
              <w:t>Cuando asistan dos o más personas a una misma comisión y sea necesaria la utilización del servicio de taxis, deberán trasladarse en la misma unidad y el gasto correspondiente se pagará únicamente a una de ellas.</w:t>
            </w:r>
          </w:p>
          <w:p w:rsidR="00C2045F" w:rsidRPr="00C2045F" w:rsidRDefault="00C2045F" w:rsidP="00B22EF0">
            <w:pPr>
              <w:spacing w:after="0" w:line="240" w:lineRule="auto"/>
              <w:jc w:val="both"/>
              <w:rPr>
                <w:rFonts w:ascii="Times New Roman" w:eastAsia="Times New Roman" w:hAnsi="Times New Roman" w:cs="Times New Roman"/>
                <w:sz w:val="24"/>
                <w:szCs w:val="24"/>
                <w:lang w:eastAsia="es-ES"/>
              </w:rPr>
            </w:pPr>
            <w:r w:rsidRPr="00C2045F">
              <w:rPr>
                <w:rFonts w:ascii="Geneva" w:eastAsia="Times New Roman" w:hAnsi="Geneva" w:cs="Times New Roman"/>
                <w:sz w:val="20"/>
                <w:lang w:eastAsia="es-ES"/>
              </w:rPr>
              <w:t xml:space="preserve">IX. En caso de que los gastos de viaje (devengados o anticipados) rebasen los $600.00 (Seiscientos pesos 00/100 m.n.), el trámite se efectuará mediante “Solicitud de cheque”. </w:t>
            </w:r>
          </w:p>
          <w:p w:rsidR="00C2045F" w:rsidRPr="00C2045F" w:rsidRDefault="00C2045F" w:rsidP="00B22EF0">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 xml:space="preserve">X. Para solicitar recursos </w:t>
            </w:r>
            <w:r w:rsidRPr="00D84C71">
              <w:rPr>
                <w:rFonts w:ascii="Geneva" w:eastAsia="Times New Roman" w:hAnsi="Geneva" w:cs="Times New Roman"/>
                <w:sz w:val="20"/>
                <w:szCs w:val="20"/>
                <w:lang w:eastAsia="es-ES"/>
              </w:rPr>
              <w:t xml:space="preserve">anticipados, siempre y cuando sea un monto inferior a $600.00 (Seiscientos pesos 00/100 m.n.), se </w:t>
            </w:r>
            <w:proofErr w:type="spellStart"/>
            <w:r w:rsidRPr="00D84C71">
              <w:rPr>
                <w:rFonts w:ascii="Geneva" w:eastAsia="Times New Roman" w:hAnsi="Geneva" w:cs="Times New Roman"/>
                <w:sz w:val="20"/>
                <w:szCs w:val="20"/>
                <w:lang w:eastAsia="es-ES"/>
              </w:rPr>
              <w:t>requisitará</w:t>
            </w:r>
            <w:proofErr w:type="spellEnd"/>
            <w:r w:rsidRPr="00D84C71">
              <w:rPr>
                <w:rFonts w:ascii="Geneva" w:eastAsia="Times New Roman" w:hAnsi="Geneva" w:cs="Times New Roman"/>
                <w:sz w:val="20"/>
                <w:szCs w:val="20"/>
                <w:lang w:eastAsia="es-ES"/>
              </w:rPr>
              <w:t xml:space="preserve"> el </w:t>
            </w:r>
            <w:hyperlink r:id="rId8" w:tgtFrame="_blank" w:history="1">
              <w:r w:rsidRPr="00D84C71">
                <w:rPr>
                  <w:rFonts w:ascii="Geneva" w:eastAsia="Times New Roman" w:hAnsi="Geneva" w:cs="Times New Roman"/>
                  <w:b/>
                  <w:bCs/>
                  <w:color w:val="006633"/>
                  <w:sz w:val="20"/>
                  <w:szCs w:val="20"/>
                  <w:lang w:eastAsia="es-ES"/>
                </w:rPr>
                <w:t>“Vale para gastos menores”</w:t>
              </w:r>
            </w:hyperlink>
            <w:r w:rsidR="004F4081" w:rsidRPr="00D84C71">
              <w:rPr>
                <w:rFonts w:ascii="Geneva" w:eastAsia="Times New Roman" w:hAnsi="Geneva" w:cs="Times New Roman"/>
                <w:sz w:val="20"/>
                <w:szCs w:val="20"/>
                <w:lang w:eastAsia="es-ES"/>
              </w:rPr>
              <w:t>.</w:t>
            </w:r>
          </w:p>
          <w:p w:rsidR="00C2045F" w:rsidRPr="00C2045F" w:rsidRDefault="00C2045F" w:rsidP="00B22EF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2045F">
              <w:rPr>
                <w:rFonts w:ascii="Geneva" w:eastAsia="Times New Roman" w:hAnsi="Geneva" w:cs="Times New Roman"/>
                <w:sz w:val="20"/>
                <w:lang w:eastAsia="es-ES"/>
              </w:rPr>
              <w:t>Cuando se trate de viáticos anticipados, la comprobación debe</w:t>
            </w:r>
            <w:r w:rsidR="00EE2AA4">
              <w:rPr>
                <w:rFonts w:ascii="Geneva" w:eastAsia="Times New Roman" w:hAnsi="Geneva" w:cs="Times New Roman"/>
                <w:sz w:val="20"/>
                <w:lang w:eastAsia="es-ES"/>
              </w:rPr>
              <w:t xml:space="preserve">rá presentarse dentro de los </w:t>
            </w:r>
            <w:r w:rsidR="009F1FA7">
              <w:rPr>
                <w:rFonts w:ascii="Geneva" w:eastAsia="Times New Roman" w:hAnsi="Geneva" w:cs="Times New Roman"/>
                <w:sz w:val="20"/>
                <w:lang w:eastAsia="es-ES"/>
              </w:rPr>
              <w:t>cinco</w:t>
            </w:r>
            <w:r w:rsidRPr="00C2045F">
              <w:rPr>
                <w:rFonts w:ascii="Geneva" w:eastAsia="Times New Roman" w:hAnsi="Geneva" w:cs="Times New Roman"/>
                <w:sz w:val="20"/>
                <w:lang w:eastAsia="es-ES"/>
              </w:rPr>
              <w:t xml:space="preserve"> días hábiles siguientes a la conclusión de la comisión, de lo contrario no se otorgarán nuevas ministraciones al personal que no haya comprobado en su totalidad la comisión anterior. En caso de no comprobar los recursos solicitados, se procederá al descuento correspondiente.</w:t>
            </w:r>
          </w:p>
          <w:p w:rsidR="00C2045F" w:rsidRPr="00C2045F" w:rsidRDefault="00C2045F" w:rsidP="00B22EF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2045F">
              <w:rPr>
                <w:rFonts w:ascii="Geneva" w:eastAsia="Times New Roman" w:hAnsi="Geneva" w:cs="Times New Roman"/>
                <w:sz w:val="20"/>
                <w:lang w:eastAsia="es-ES"/>
              </w:rPr>
              <w:t xml:space="preserve">XI. Los comprobantes del gasto, deberán ser pegados en hojas de reciclaje tamaño carta y ser firmados por el jefe inmediato </w:t>
            </w:r>
            <w:proofErr w:type="gramStart"/>
            <w:r w:rsidRPr="00C2045F">
              <w:rPr>
                <w:rFonts w:ascii="Geneva" w:eastAsia="Times New Roman" w:hAnsi="Geneva" w:cs="Times New Roman"/>
                <w:sz w:val="20"/>
                <w:lang w:eastAsia="es-ES"/>
              </w:rPr>
              <w:t>y  en</w:t>
            </w:r>
            <w:proofErr w:type="gramEnd"/>
            <w:r w:rsidRPr="00C2045F">
              <w:rPr>
                <w:rFonts w:ascii="Geneva" w:eastAsia="Times New Roman" w:hAnsi="Geneva" w:cs="Times New Roman"/>
                <w:sz w:val="20"/>
                <w:lang w:eastAsia="es-ES"/>
              </w:rPr>
              <w:t xml:space="preserve"> el caso de los directores, ellos mismos firmarán los comprobantes. </w:t>
            </w:r>
          </w:p>
          <w:p w:rsidR="00C2045F" w:rsidRPr="00C2045F" w:rsidRDefault="00C2045F" w:rsidP="00B22EF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2045F">
              <w:rPr>
                <w:rFonts w:ascii="Geneva" w:eastAsia="Times New Roman" w:hAnsi="Geneva" w:cs="Times New Roman"/>
                <w:sz w:val="20"/>
                <w:lang w:eastAsia="es-ES"/>
              </w:rPr>
              <w:t>XII. Cuando no se cuente con un documento que acredite el gasto por concepto de “pasajes locales”, se podrá hacer uso del</w:t>
            </w:r>
            <w:hyperlink r:id="rId9" w:tgtFrame="_blank" w:history="1">
              <w:r w:rsidRPr="00C2045F">
                <w:rPr>
                  <w:rFonts w:ascii="Geneva" w:eastAsia="Times New Roman" w:hAnsi="Geneva" w:cs="Times New Roman"/>
                  <w:b/>
                  <w:bCs/>
                  <w:color w:val="006633"/>
                  <w:sz w:val="20"/>
                  <w:lang w:eastAsia="es-ES"/>
                </w:rPr>
                <w:t xml:space="preserve"> “Comprobante de gastos menores”,</w:t>
              </w:r>
            </w:hyperlink>
            <w:r w:rsidRPr="00C2045F">
              <w:rPr>
                <w:rFonts w:ascii="Geneva" w:eastAsia="Times New Roman" w:hAnsi="Geneva" w:cs="Times New Roman"/>
                <w:sz w:val="20"/>
                <w:lang w:eastAsia="es-ES"/>
              </w:rPr>
              <w:t xml:space="preserve"> el cual deberá estar debidamente justificado, quedando sujeto a los presentes lineamientos. </w:t>
            </w:r>
          </w:p>
          <w:p w:rsidR="00C2045F" w:rsidRPr="00C2045F" w:rsidRDefault="00C2045F" w:rsidP="00B22EF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2045F">
              <w:rPr>
                <w:rFonts w:ascii="Geneva" w:eastAsia="Times New Roman" w:hAnsi="Geneva" w:cs="Times New Roman"/>
                <w:sz w:val="20"/>
                <w:lang w:eastAsia="es-ES"/>
              </w:rPr>
              <w:t>No se aceptarán comprobantes de gastos menores por los conceptos siguientes: hospedaje, alimentación, ca</w:t>
            </w:r>
            <w:r w:rsidR="000D2A35">
              <w:rPr>
                <w:rFonts w:ascii="Geneva" w:eastAsia="Times New Roman" w:hAnsi="Geneva" w:cs="Times New Roman"/>
                <w:sz w:val="20"/>
                <w:lang w:eastAsia="es-ES"/>
              </w:rPr>
              <w:t>setas, boletos de pasajes.</w:t>
            </w:r>
            <w:r w:rsidRPr="00C2045F">
              <w:rPr>
                <w:rFonts w:ascii="Geneva" w:eastAsia="Times New Roman" w:hAnsi="Geneva" w:cs="Times New Roman"/>
                <w:sz w:val="20"/>
                <w:lang w:eastAsia="es-ES"/>
              </w:rPr>
              <w:t xml:space="preserve"> </w:t>
            </w:r>
          </w:p>
          <w:p w:rsidR="00C2045F" w:rsidRPr="00C2045F" w:rsidRDefault="00C2045F" w:rsidP="00B22EF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2045F">
              <w:rPr>
                <w:rFonts w:ascii="Geneva" w:eastAsia="Times New Roman" w:hAnsi="Geneva" w:cs="Times New Roman"/>
                <w:sz w:val="20"/>
                <w:lang w:eastAsia="es-ES"/>
              </w:rPr>
              <w:t>En el caso de gastos de alimentación, sólo se aceptarán dichos comprobantes cuando se justifique debidamente que por la ubicación geográfica del lugar de comisión no se cuenta con establecimientos que emitan facturas y en este caso se descontará un monto equivalente al Impuesto Sobre la Renta que correspond</w:t>
            </w:r>
            <w:r w:rsidR="00D84C71">
              <w:rPr>
                <w:rFonts w:ascii="Geneva" w:eastAsia="Times New Roman" w:hAnsi="Geneva" w:cs="Times New Roman"/>
                <w:sz w:val="20"/>
                <w:lang w:eastAsia="es-ES"/>
              </w:rPr>
              <w:t>a</w:t>
            </w:r>
            <w:r w:rsidRPr="00D84C71">
              <w:rPr>
                <w:rFonts w:ascii="Geneva" w:eastAsia="Times New Roman" w:hAnsi="Geneva" w:cs="Times New Roman"/>
                <w:sz w:val="20"/>
                <w:lang w:eastAsia="es-ES"/>
              </w:rPr>
              <w:t>.</w:t>
            </w:r>
          </w:p>
          <w:p w:rsidR="00C2045F" w:rsidRPr="00C2045F" w:rsidRDefault="00C2045F" w:rsidP="00B22EF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2045F">
              <w:rPr>
                <w:rFonts w:ascii="Geneva" w:eastAsia="Times New Roman" w:hAnsi="Geneva" w:cs="Times New Roman"/>
                <w:sz w:val="20"/>
                <w:lang w:eastAsia="es-ES"/>
              </w:rPr>
              <w:t>XIII. Cuando por la naturaleza del evento, sea necesaria la asistencia de alumnos de esta Institución a eventos fuera de las instalaciones de la misma, se cubrirán los gastos de traslado y alimentación</w:t>
            </w:r>
            <w:r w:rsidR="00494C8F">
              <w:rPr>
                <w:rFonts w:ascii="Geneva" w:eastAsia="Times New Roman" w:hAnsi="Geneva" w:cs="Times New Roman"/>
                <w:sz w:val="20"/>
                <w:lang w:eastAsia="es-ES"/>
              </w:rPr>
              <w:t xml:space="preserve"> y/o hospedaje</w:t>
            </w:r>
            <w:r w:rsidRPr="00C2045F">
              <w:rPr>
                <w:rFonts w:ascii="Geneva" w:eastAsia="Times New Roman" w:hAnsi="Geneva" w:cs="Times New Roman"/>
                <w:sz w:val="20"/>
                <w:lang w:eastAsia="es-ES"/>
              </w:rPr>
              <w:t xml:space="preserve"> correspondientes, siempre y cuando se cuente con la autorización (Firma) de la Rectoría y de la </w:t>
            </w:r>
            <w:r w:rsidR="00D84C71">
              <w:rPr>
                <w:rFonts w:ascii="Geneva" w:eastAsia="Times New Roman" w:hAnsi="Geneva" w:cs="Times New Roman"/>
                <w:sz w:val="20"/>
                <w:lang w:eastAsia="es-ES"/>
              </w:rPr>
              <w:t>Secretaría Académica</w:t>
            </w:r>
            <w:r w:rsidRPr="00C2045F">
              <w:rPr>
                <w:rFonts w:ascii="Geneva" w:eastAsia="Times New Roman" w:hAnsi="Geneva" w:cs="Times New Roman"/>
                <w:sz w:val="20"/>
                <w:lang w:eastAsia="es-ES"/>
              </w:rPr>
              <w:t xml:space="preserve">, además se deberá relacionar el nombre, número de matrícula e identificación de los participantes, así mismo, se anexará invitación al evento, material fotográfico y un informe de los resultados obtenidos. </w:t>
            </w:r>
          </w:p>
          <w:p w:rsidR="00C2045F" w:rsidRDefault="00C2045F" w:rsidP="00B22EF0">
            <w:pPr>
              <w:spacing w:before="100" w:beforeAutospacing="1" w:after="100" w:afterAutospacing="1" w:line="240" w:lineRule="auto"/>
              <w:jc w:val="both"/>
              <w:rPr>
                <w:rFonts w:ascii="Geneva" w:eastAsia="Times New Roman" w:hAnsi="Geneva" w:cs="Times New Roman"/>
                <w:sz w:val="20"/>
                <w:lang w:eastAsia="es-ES"/>
              </w:rPr>
            </w:pPr>
            <w:r w:rsidRPr="00C2045F">
              <w:rPr>
                <w:rFonts w:ascii="Geneva" w:eastAsia="Times New Roman" w:hAnsi="Geneva" w:cs="Times New Roman"/>
                <w:sz w:val="20"/>
                <w:lang w:eastAsia="es-ES"/>
              </w:rPr>
              <w:t>XIV. En el caso de viáticos internacionales, se deberá contar con el Visto Bueno de la Cabeza de Sector.</w:t>
            </w:r>
          </w:p>
          <w:p w:rsidR="0013777E" w:rsidRDefault="0013777E" w:rsidP="00B22EF0">
            <w:pPr>
              <w:spacing w:before="100" w:beforeAutospacing="1" w:after="100" w:afterAutospacing="1" w:line="240" w:lineRule="auto"/>
              <w:jc w:val="both"/>
              <w:rPr>
                <w:rFonts w:ascii="Geneva" w:eastAsia="Times New Roman" w:hAnsi="Geneva" w:cs="Times New Roman"/>
                <w:sz w:val="20"/>
                <w:lang w:eastAsia="es-ES"/>
              </w:rPr>
            </w:pPr>
          </w:p>
          <w:p w:rsidR="0013777E" w:rsidRDefault="0013777E" w:rsidP="00B22EF0">
            <w:pPr>
              <w:spacing w:before="100" w:beforeAutospacing="1" w:after="100" w:afterAutospacing="1" w:line="240" w:lineRule="auto"/>
              <w:jc w:val="both"/>
              <w:rPr>
                <w:rFonts w:ascii="Geneva" w:eastAsia="Times New Roman" w:hAnsi="Geneva" w:cs="Times New Roman"/>
                <w:sz w:val="20"/>
                <w:lang w:eastAsia="es-ES"/>
              </w:rPr>
            </w:pPr>
          </w:p>
          <w:p w:rsidR="00C2045F" w:rsidRPr="00C2045F" w:rsidRDefault="00C2045F" w:rsidP="00C2045F">
            <w:pPr>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lastRenderedPageBreak/>
              <w:t>Otros Servicios generales</w:t>
            </w:r>
          </w:p>
          <w:p w:rsidR="00C2045F" w:rsidRPr="00C2045F" w:rsidRDefault="00C2045F" w:rsidP="00B22EF0">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25</w:t>
            </w:r>
            <w:r w:rsidRPr="00C2045F">
              <w:rPr>
                <w:rFonts w:ascii="Geneva" w:eastAsia="Times New Roman" w:hAnsi="Geneva" w:cs="Times New Roman"/>
                <w:sz w:val="20"/>
                <w:szCs w:val="20"/>
                <w:lang w:eastAsia="es-ES"/>
              </w:rPr>
              <w:t xml:space="preserve">.- Cuando se realicen eventos deportivos, culturales, científicos o sociales, conferencias, foros, congresos y similares, se deberá adjuntar al gasto correspondiente la documentación siguiente: programa, justificación, material fotográfico </w:t>
            </w:r>
            <w:proofErr w:type="gramStart"/>
            <w:r w:rsidRPr="00C2045F">
              <w:rPr>
                <w:rFonts w:ascii="Geneva" w:eastAsia="Times New Roman" w:hAnsi="Geneva" w:cs="Times New Roman"/>
                <w:sz w:val="20"/>
                <w:szCs w:val="20"/>
                <w:lang w:eastAsia="es-ES"/>
              </w:rPr>
              <w:t>y  participantes</w:t>
            </w:r>
            <w:proofErr w:type="gramEnd"/>
            <w:r w:rsidRPr="00C2045F">
              <w:rPr>
                <w:rFonts w:ascii="Geneva" w:eastAsia="Times New Roman" w:hAnsi="Geneva" w:cs="Times New Roman"/>
                <w:sz w:val="20"/>
                <w:szCs w:val="20"/>
                <w:lang w:eastAsia="es-ES"/>
              </w:rPr>
              <w:t xml:space="preserve"> (relación o  en su caso, mención del grupo a quien fue dirigido el evento).</w:t>
            </w:r>
          </w:p>
          <w:p w:rsidR="00C2045F" w:rsidRPr="00C2045F" w:rsidRDefault="00C2045F" w:rsidP="00B22EF0">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26.-</w:t>
            </w:r>
            <w:r w:rsidRPr="00C2045F">
              <w:rPr>
                <w:rFonts w:ascii="Geneva" w:eastAsia="Times New Roman" w:hAnsi="Geneva" w:cs="Times New Roman"/>
                <w:sz w:val="20"/>
                <w:szCs w:val="20"/>
                <w:lang w:eastAsia="es-ES"/>
              </w:rPr>
              <w:t xml:space="preserve"> No se cubrirán gastos por concepto de publicación de esquelas o felicitaciones, ni arreglos florales.</w:t>
            </w:r>
          </w:p>
          <w:p w:rsidR="00C2045F" w:rsidRPr="00C2045F" w:rsidRDefault="00C2045F" w:rsidP="00B22EF0">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27.-</w:t>
            </w:r>
            <w:r w:rsidRPr="00C2045F">
              <w:rPr>
                <w:rFonts w:ascii="Geneva" w:eastAsia="Times New Roman" w:hAnsi="Geneva" w:cs="Times New Roman"/>
                <w:sz w:val="20"/>
                <w:szCs w:val="20"/>
                <w:lang w:eastAsia="es-ES"/>
              </w:rPr>
              <w:t xml:space="preserve"> Se evitará en lo posible, la publicación de convocatorias de una sola licitación, mediante la programación de convocatorias múltiples, incluyendo por lo menos dos licitaciones.</w:t>
            </w:r>
          </w:p>
          <w:p w:rsidR="00C2045F" w:rsidRPr="00C2045F" w:rsidRDefault="00C2045F" w:rsidP="00B22EF0">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 xml:space="preserve">Cuando sea posible, las convocatorias para </w:t>
            </w:r>
            <w:proofErr w:type="gramStart"/>
            <w:r w:rsidRPr="00C2045F">
              <w:rPr>
                <w:rFonts w:ascii="Geneva" w:eastAsia="Times New Roman" w:hAnsi="Geneva" w:cs="Times New Roman"/>
                <w:sz w:val="20"/>
                <w:szCs w:val="20"/>
                <w:lang w:eastAsia="es-ES"/>
              </w:rPr>
              <w:t>el  reclutamiento</w:t>
            </w:r>
            <w:proofErr w:type="gramEnd"/>
            <w:r w:rsidRPr="00C2045F">
              <w:rPr>
                <w:rFonts w:ascii="Geneva" w:eastAsia="Times New Roman" w:hAnsi="Geneva" w:cs="Times New Roman"/>
                <w:sz w:val="20"/>
                <w:szCs w:val="20"/>
                <w:lang w:eastAsia="es-ES"/>
              </w:rPr>
              <w:t xml:space="preserve"> de personal, deberán incluir la solicitud de todas las vacantes existentes y no llevar a cabo una convocatoria para cada solicitud de algún puesto o cargo. De acuerdo a los antecedentes, se publicarán las convocatorias en los medios que hayan representado mejor herramienta de reclutamiento.</w:t>
            </w:r>
          </w:p>
          <w:p w:rsidR="00C2045F" w:rsidRPr="00C2045F" w:rsidRDefault="00C2045F" w:rsidP="00C2045F">
            <w:pPr>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Bienes muebles e inmuebles</w:t>
            </w:r>
          </w:p>
          <w:p w:rsidR="00C2045F" w:rsidRPr="00C2045F" w:rsidRDefault="00C2045F" w:rsidP="00B22EF0">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28.-</w:t>
            </w:r>
            <w:r w:rsidRPr="00C2045F">
              <w:rPr>
                <w:rFonts w:ascii="Geneva" w:eastAsia="Times New Roman" w:hAnsi="Geneva" w:cs="Times New Roman"/>
                <w:sz w:val="20"/>
                <w:szCs w:val="20"/>
                <w:lang w:eastAsia="es-ES"/>
              </w:rPr>
              <w:t xml:space="preserve"> El personal que haga uso de algún mobiliario o equipo, será el responsable directo del mismo y deberá utilizarlos con eficiencia y eficacia a fin de lograr mantenerlos en buen estado.</w:t>
            </w:r>
          </w:p>
          <w:p w:rsidR="00C2045F" w:rsidRPr="00C2045F" w:rsidRDefault="00C2045F" w:rsidP="00B22EF0">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29.-</w:t>
            </w:r>
            <w:r w:rsidRPr="00C2045F">
              <w:rPr>
                <w:rFonts w:ascii="Geneva" w:eastAsia="Times New Roman" w:hAnsi="Geneva" w:cs="Times New Roman"/>
                <w:sz w:val="20"/>
                <w:szCs w:val="20"/>
                <w:lang w:eastAsia="es-ES"/>
              </w:rPr>
              <w:t xml:space="preserve"> Cada usuario de algún espacio (oficina, taller, laboratorio, entre otros) será el responsable de vigilar el ahorro de energía eléctrica y agua potable.</w:t>
            </w:r>
          </w:p>
          <w:p w:rsidR="00C2045F" w:rsidRPr="00C2045F" w:rsidRDefault="00C2045F" w:rsidP="00B22EF0">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30.-</w:t>
            </w:r>
            <w:r w:rsidRPr="00C2045F">
              <w:rPr>
                <w:rFonts w:ascii="Geneva" w:eastAsia="Times New Roman" w:hAnsi="Geneva" w:cs="Times New Roman"/>
                <w:sz w:val="20"/>
                <w:szCs w:val="20"/>
                <w:lang w:eastAsia="es-ES"/>
              </w:rPr>
              <w:t xml:space="preserve"> Las adquisiciones de bienes muebles, procederán siempre y cuando: se cuente con la justificación, exista disponibilidad presupuestaria y financiera, y sean debidamente autorizadas por las instancias correspondientes.</w:t>
            </w:r>
          </w:p>
          <w:p w:rsidR="00C2045F" w:rsidRPr="00C2045F" w:rsidRDefault="00C2045F" w:rsidP="00B22EF0">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31.-</w:t>
            </w:r>
            <w:r w:rsidRPr="00C2045F">
              <w:rPr>
                <w:rFonts w:ascii="Geneva" w:eastAsia="Times New Roman" w:hAnsi="Geneva" w:cs="Times New Roman"/>
                <w:sz w:val="20"/>
                <w:szCs w:val="20"/>
                <w:lang w:eastAsia="es-ES"/>
              </w:rPr>
              <w:t xml:space="preserve"> No está permitido el uso de vehículos oficiales, durante días y horas inhábiles, salvo que exista autorización expresa y se justifique previamente. </w:t>
            </w:r>
          </w:p>
          <w:p w:rsidR="00C2045F" w:rsidRPr="00C2045F" w:rsidRDefault="00C2045F" w:rsidP="00B22EF0">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32</w:t>
            </w:r>
            <w:r w:rsidRPr="00C2045F">
              <w:rPr>
                <w:rFonts w:ascii="Geneva" w:eastAsia="Times New Roman" w:hAnsi="Geneva" w:cs="Times New Roman"/>
                <w:sz w:val="20"/>
                <w:szCs w:val="20"/>
                <w:lang w:eastAsia="es-ES"/>
              </w:rPr>
              <w:t>.- Cada usuario del parque vehicular, será responsable de entregar en las mismas condiciones físicas generales en las que recibió la unidad; de lo contrario, se determinará el grado de responsabilidad en caso de daños o siniestros, procediendo el usuario al pago de la reparación correspondiente.</w:t>
            </w:r>
          </w:p>
          <w:p w:rsidR="00C2045F" w:rsidRPr="00C2045F" w:rsidRDefault="00C2045F" w:rsidP="00B22EF0">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33</w:t>
            </w:r>
            <w:r w:rsidRPr="00C2045F">
              <w:rPr>
                <w:rFonts w:ascii="Geneva" w:eastAsia="Times New Roman" w:hAnsi="Geneva" w:cs="Times New Roman"/>
                <w:sz w:val="20"/>
                <w:szCs w:val="20"/>
                <w:lang w:eastAsia="es-ES"/>
              </w:rPr>
              <w:t xml:space="preserve">.- El manejo y control de los bienes muebles, se llevará a cabo de conformidad con la normatividad aplicable en la materia. </w:t>
            </w:r>
          </w:p>
          <w:p w:rsidR="00C2045F" w:rsidRPr="00C2045F" w:rsidRDefault="00C2045F" w:rsidP="00C2045F">
            <w:pPr>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Otros</w:t>
            </w:r>
          </w:p>
          <w:p w:rsidR="00C2045F" w:rsidRPr="00C2045F" w:rsidRDefault="00C2045F" w:rsidP="009B4B9A">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34.-</w:t>
            </w:r>
            <w:r w:rsidRPr="00C2045F">
              <w:rPr>
                <w:rFonts w:ascii="Geneva" w:eastAsia="Times New Roman" w:hAnsi="Geneva" w:cs="Times New Roman"/>
                <w:sz w:val="20"/>
                <w:szCs w:val="20"/>
                <w:lang w:eastAsia="es-ES"/>
              </w:rPr>
              <w:t xml:space="preserve"> La aplicación del presupuesto, estará amparada mediante un comprobante del gasto (factura, recibo de honorarios, recibo de servicio, entre otros) que deberá estar pegado en una hoja de reciclaje tamaño carta y firmado por el responsable del área que solicita el pago. Tratándose de facturas que amparen la adquisición de bienes muebles, estas no deberán estar firmadas, selladas, engrapadas, perforadas y en general no estar maltratadas.</w:t>
            </w:r>
          </w:p>
          <w:p w:rsidR="00C2045F" w:rsidRPr="00126558" w:rsidRDefault="00C2045F" w:rsidP="009B4B9A">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 xml:space="preserve">El comprobante del gasto contendrá los requisitos que se </w:t>
            </w:r>
            <w:r w:rsidRPr="00126558">
              <w:rPr>
                <w:rFonts w:ascii="Geneva" w:eastAsia="Times New Roman" w:hAnsi="Geneva" w:cs="Times New Roman"/>
                <w:sz w:val="20"/>
                <w:szCs w:val="20"/>
                <w:lang w:eastAsia="es-ES"/>
              </w:rPr>
              <w:t>mencionan en el Anexo “A”, en el entendido de que los documentos que no cumplan con la totalidad de los requisitos, serán considerados como no deducibles y en dichos casos serán pagaderos únicamente en un 7</w:t>
            </w:r>
            <w:r w:rsidR="00FE695B" w:rsidRPr="00126558">
              <w:rPr>
                <w:rFonts w:ascii="Geneva" w:eastAsia="Times New Roman" w:hAnsi="Geneva" w:cs="Times New Roman"/>
                <w:sz w:val="20"/>
                <w:szCs w:val="20"/>
                <w:lang w:eastAsia="es-ES"/>
              </w:rPr>
              <w:t>0</w:t>
            </w:r>
            <w:r w:rsidRPr="00126558">
              <w:rPr>
                <w:rFonts w:ascii="Geneva" w:eastAsia="Times New Roman" w:hAnsi="Geneva" w:cs="Times New Roman"/>
                <w:sz w:val="20"/>
                <w:szCs w:val="20"/>
                <w:lang w:eastAsia="es-ES"/>
              </w:rPr>
              <w:t>% de su monto.</w:t>
            </w:r>
          </w:p>
          <w:p w:rsidR="00C2045F" w:rsidRPr="00126558" w:rsidRDefault="00C2045F" w:rsidP="009B4B9A">
            <w:pPr>
              <w:spacing w:before="100" w:beforeAutospacing="1" w:after="100" w:afterAutospacing="1" w:line="240" w:lineRule="auto"/>
              <w:jc w:val="both"/>
              <w:rPr>
                <w:rFonts w:ascii="Geneva" w:eastAsia="Times New Roman" w:hAnsi="Geneva" w:cs="Times New Roman"/>
                <w:sz w:val="20"/>
                <w:szCs w:val="20"/>
                <w:lang w:eastAsia="es-ES"/>
              </w:rPr>
            </w:pPr>
            <w:r w:rsidRPr="00126558">
              <w:rPr>
                <w:rFonts w:ascii="Geneva" w:eastAsia="Times New Roman" w:hAnsi="Geneva" w:cs="Times New Roman"/>
                <w:b/>
                <w:bCs/>
                <w:sz w:val="20"/>
                <w:szCs w:val="20"/>
                <w:lang w:eastAsia="es-ES"/>
              </w:rPr>
              <w:t>35.-</w:t>
            </w:r>
            <w:r w:rsidRPr="00126558">
              <w:rPr>
                <w:rFonts w:ascii="Geneva" w:eastAsia="Times New Roman" w:hAnsi="Geneva" w:cs="Times New Roman"/>
                <w:sz w:val="20"/>
                <w:szCs w:val="20"/>
                <w:lang w:eastAsia="es-ES"/>
              </w:rPr>
              <w:t xml:space="preserve"> La presentación de facturas para su pago, deberá realizarse dentro del mes en que se realice el gasto o en su caso, </w:t>
            </w:r>
            <w:proofErr w:type="gramStart"/>
            <w:r w:rsidRPr="00126558">
              <w:rPr>
                <w:rFonts w:ascii="Geneva" w:eastAsia="Times New Roman" w:hAnsi="Geneva" w:cs="Times New Roman"/>
                <w:sz w:val="20"/>
                <w:szCs w:val="20"/>
                <w:lang w:eastAsia="es-ES"/>
              </w:rPr>
              <w:t>en  la</w:t>
            </w:r>
            <w:proofErr w:type="gramEnd"/>
            <w:r w:rsidRPr="00126558">
              <w:rPr>
                <w:rFonts w:ascii="Geneva" w:eastAsia="Times New Roman" w:hAnsi="Geneva" w:cs="Times New Roman"/>
                <w:sz w:val="20"/>
                <w:szCs w:val="20"/>
                <w:lang w:eastAsia="es-ES"/>
              </w:rPr>
              <w:t xml:space="preserve"> fecha que se indique de manera expresa por tratarse de fin de trimestre, cuatrimestre o de año de calendario.</w:t>
            </w:r>
          </w:p>
          <w:p w:rsidR="00C2045F" w:rsidRPr="00126558" w:rsidRDefault="00C2045F" w:rsidP="009B4B9A">
            <w:pPr>
              <w:spacing w:before="100" w:beforeAutospacing="1" w:after="100" w:afterAutospacing="1" w:line="240" w:lineRule="auto"/>
              <w:jc w:val="both"/>
              <w:rPr>
                <w:rFonts w:ascii="Geneva" w:eastAsia="Times New Roman" w:hAnsi="Geneva" w:cs="Times New Roman"/>
                <w:sz w:val="20"/>
                <w:szCs w:val="20"/>
                <w:lang w:eastAsia="es-ES"/>
              </w:rPr>
            </w:pPr>
            <w:r w:rsidRPr="00126558">
              <w:rPr>
                <w:rFonts w:ascii="Geneva" w:eastAsia="Times New Roman" w:hAnsi="Geneva" w:cs="Times New Roman"/>
                <w:b/>
                <w:bCs/>
                <w:sz w:val="20"/>
                <w:szCs w:val="20"/>
                <w:lang w:eastAsia="es-ES"/>
              </w:rPr>
              <w:t>36.-</w:t>
            </w:r>
            <w:r w:rsidRPr="00126558">
              <w:rPr>
                <w:rFonts w:ascii="Geneva" w:eastAsia="Times New Roman" w:hAnsi="Geneva" w:cs="Times New Roman"/>
                <w:sz w:val="20"/>
                <w:szCs w:val="20"/>
                <w:lang w:eastAsia="es-ES"/>
              </w:rPr>
              <w:t xml:space="preserve"> Cuando se solicite el pago de algún gasto, se anexarán los documentos necesarios, de acuerdo a lo establecido en el Anexo </w:t>
            </w:r>
            <w:r w:rsidR="004549B9" w:rsidRPr="00126558">
              <w:rPr>
                <w:rFonts w:ascii="Geneva" w:eastAsia="Times New Roman" w:hAnsi="Geneva" w:cs="Times New Roman"/>
                <w:sz w:val="20"/>
                <w:szCs w:val="20"/>
                <w:lang w:eastAsia="es-ES"/>
              </w:rPr>
              <w:t>“</w:t>
            </w:r>
            <w:r w:rsidRPr="00126558">
              <w:rPr>
                <w:rFonts w:ascii="Geneva" w:eastAsia="Times New Roman" w:hAnsi="Geneva" w:cs="Times New Roman"/>
                <w:sz w:val="20"/>
                <w:szCs w:val="20"/>
                <w:lang w:eastAsia="es-ES"/>
              </w:rPr>
              <w:t>B”.</w:t>
            </w:r>
          </w:p>
          <w:p w:rsidR="00F52A67" w:rsidRDefault="00C2045F" w:rsidP="009B4B9A">
            <w:pPr>
              <w:spacing w:before="100" w:beforeAutospacing="1" w:after="100" w:afterAutospacing="1" w:line="240" w:lineRule="auto"/>
              <w:jc w:val="both"/>
              <w:rPr>
                <w:rFonts w:ascii="Geneva" w:eastAsia="Times New Roman" w:hAnsi="Geneva" w:cs="Times New Roman"/>
                <w:sz w:val="20"/>
                <w:szCs w:val="20"/>
                <w:lang w:eastAsia="es-ES"/>
              </w:rPr>
            </w:pPr>
            <w:r w:rsidRPr="00126558">
              <w:rPr>
                <w:rFonts w:ascii="Geneva" w:eastAsia="Times New Roman" w:hAnsi="Geneva" w:cs="Times New Roman"/>
                <w:b/>
                <w:bCs/>
                <w:sz w:val="20"/>
                <w:szCs w:val="20"/>
                <w:lang w:eastAsia="es-ES"/>
              </w:rPr>
              <w:t>37.-</w:t>
            </w:r>
            <w:r w:rsidRPr="00126558">
              <w:rPr>
                <w:rFonts w:ascii="Geneva" w:eastAsia="Times New Roman" w:hAnsi="Geneva" w:cs="Times New Roman"/>
                <w:sz w:val="20"/>
                <w:szCs w:val="20"/>
                <w:lang w:eastAsia="es-ES"/>
              </w:rPr>
              <w:t xml:space="preserve"> Las “Solicitudes de cheque” estarán sujetas a las fechas de pago establecidas en el Anexo “C”.</w:t>
            </w:r>
          </w:p>
          <w:p w:rsidR="00C2045F" w:rsidRPr="00C2045F" w:rsidRDefault="00C2045F" w:rsidP="009B4B9A">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38.-</w:t>
            </w:r>
            <w:r w:rsidRPr="00C2045F">
              <w:rPr>
                <w:rFonts w:ascii="Geneva" w:eastAsia="Times New Roman" w:hAnsi="Geneva" w:cs="Times New Roman"/>
                <w:sz w:val="20"/>
                <w:szCs w:val="20"/>
                <w:lang w:eastAsia="es-ES"/>
              </w:rPr>
              <w:t xml:space="preserve"> Los presentes lineamientos no podrán contraponerse a la normatividad de orden Federal o Estatal que regulen el ejercicio del gasto.</w:t>
            </w:r>
          </w:p>
          <w:p w:rsidR="00C2045F" w:rsidRPr="00C2045F" w:rsidRDefault="00C2045F" w:rsidP="009B4B9A">
            <w:pPr>
              <w:spacing w:before="100" w:beforeAutospacing="1" w:after="100" w:afterAutospacing="1" w:line="240" w:lineRule="auto"/>
              <w:jc w:val="both"/>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lastRenderedPageBreak/>
              <w:t>39.-</w:t>
            </w:r>
            <w:r w:rsidRPr="00C2045F">
              <w:rPr>
                <w:rFonts w:ascii="Geneva" w:eastAsia="Times New Roman" w:hAnsi="Geneva" w:cs="Times New Roman"/>
                <w:sz w:val="20"/>
                <w:szCs w:val="20"/>
                <w:lang w:eastAsia="es-ES"/>
              </w:rPr>
              <w:t xml:space="preserve"> El desconocimiento de estos lineamientos por parte personal que labora es esta Universidad, no les exime de la responsabilidad del cumplimiento de los mismos. </w:t>
            </w:r>
          </w:p>
        </w:tc>
      </w:tr>
      <w:tr w:rsidR="00C2045F" w:rsidRPr="00C2045F" w:rsidTr="001F7567">
        <w:trPr>
          <w:trHeight w:val="73"/>
          <w:tblCellSpacing w:w="15" w:type="dxa"/>
        </w:trPr>
        <w:tc>
          <w:tcPr>
            <w:tcW w:w="10933" w:type="dxa"/>
            <w:gridSpan w:val="2"/>
            <w:vAlign w:val="center"/>
            <w:hideMark/>
          </w:tcPr>
          <w:p w:rsidR="000172D6" w:rsidRDefault="000172D6" w:rsidP="00C2045F">
            <w:pPr>
              <w:spacing w:before="100" w:beforeAutospacing="1" w:after="100" w:afterAutospacing="1" w:line="240" w:lineRule="auto"/>
              <w:jc w:val="center"/>
              <w:rPr>
                <w:rFonts w:ascii="Geneva" w:eastAsia="Times New Roman" w:hAnsi="Geneva" w:cs="Times New Roman"/>
                <w:b/>
                <w:bCs/>
                <w:sz w:val="20"/>
                <w:szCs w:val="20"/>
                <w:lang w:eastAsia="es-ES"/>
              </w:rPr>
            </w:pPr>
          </w:p>
          <w:p w:rsidR="001F51EC" w:rsidRPr="001F51EC" w:rsidRDefault="0013777E" w:rsidP="006A720F">
            <w:pPr>
              <w:spacing w:before="100" w:beforeAutospacing="1" w:after="100" w:afterAutospacing="1" w:line="240" w:lineRule="auto"/>
              <w:jc w:val="center"/>
              <w:rPr>
                <w:rFonts w:ascii="Geneva" w:eastAsia="Times New Roman" w:hAnsi="Geneva" w:cs="Times New Roman"/>
                <w:b/>
                <w:bCs/>
                <w:sz w:val="20"/>
                <w:szCs w:val="20"/>
                <w:lang w:eastAsia="es-ES"/>
              </w:rPr>
            </w:pPr>
            <w:r>
              <w:rPr>
                <w:rFonts w:ascii="Geneva" w:eastAsia="Times New Roman" w:hAnsi="Geneva" w:cs="Times New Roman"/>
                <w:b/>
                <w:bCs/>
                <w:sz w:val="20"/>
                <w:szCs w:val="20"/>
                <w:lang w:eastAsia="es-ES"/>
              </w:rPr>
              <w:t>Viáticos anticipados</w:t>
            </w:r>
          </w:p>
          <w:p w:rsidR="001F51EC" w:rsidRPr="001F51EC" w:rsidRDefault="001F51EC" w:rsidP="001F51EC">
            <w:pPr>
              <w:spacing w:before="100" w:beforeAutospacing="1" w:after="100" w:afterAutospacing="1" w:line="240" w:lineRule="auto"/>
              <w:jc w:val="both"/>
              <w:rPr>
                <w:rFonts w:ascii="Arial" w:eastAsia="Times New Roman" w:hAnsi="Arial" w:cs="Arial"/>
                <w:sz w:val="20"/>
                <w:szCs w:val="20"/>
                <w:lang w:val="es-MX" w:eastAsia="es-MX"/>
              </w:rPr>
            </w:pPr>
            <w:r w:rsidRPr="001F51EC">
              <w:rPr>
                <w:rFonts w:ascii="Arial" w:eastAsia="Times New Roman" w:hAnsi="Arial" w:cs="Arial"/>
                <w:sz w:val="20"/>
                <w:szCs w:val="20"/>
                <w:lang w:val="es-MX" w:eastAsia="es-MX"/>
              </w:rPr>
              <w:t xml:space="preserve">Los </w:t>
            </w:r>
            <w:r w:rsidR="0013777E">
              <w:rPr>
                <w:rFonts w:ascii="Arial" w:eastAsia="Times New Roman" w:hAnsi="Arial" w:cs="Arial"/>
                <w:sz w:val="20"/>
                <w:szCs w:val="20"/>
                <w:lang w:val="es-MX" w:eastAsia="es-MX"/>
              </w:rPr>
              <w:t>viáticos anticipados</w:t>
            </w:r>
            <w:r w:rsidRPr="001F51EC">
              <w:rPr>
                <w:rFonts w:ascii="Arial" w:eastAsia="Times New Roman" w:hAnsi="Arial" w:cs="Arial"/>
                <w:sz w:val="20"/>
                <w:szCs w:val="20"/>
                <w:lang w:val="es-MX" w:eastAsia="es-MX"/>
              </w:rPr>
              <w:t xml:space="preserve"> serán tramitados para su registro con los siguientes requisitos:</w:t>
            </w:r>
          </w:p>
          <w:p w:rsidR="001F51EC" w:rsidRDefault="001F51EC" w:rsidP="006A720F">
            <w:pPr>
              <w:numPr>
                <w:ilvl w:val="0"/>
                <w:numId w:val="5"/>
              </w:numPr>
              <w:spacing w:before="100" w:beforeAutospacing="1" w:after="100" w:afterAutospacing="1" w:line="240" w:lineRule="auto"/>
              <w:contextualSpacing/>
              <w:jc w:val="both"/>
              <w:rPr>
                <w:rFonts w:ascii="Arial" w:eastAsia="Times New Roman" w:hAnsi="Arial" w:cs="Arial"/>
                <w:sz w:val="20"/>
                <w:szCs w:val="20"/>
                <w:lang w:val="es-MX" w:eastAsia="es-MX"/>
              </w:rPr>
            </w:pPr>
            <w:r w:rsidRPr="006A720F">
              <w:rPr>
                <w:rFonts w:ascii="Arial" w:eastAsia="Times New Roman" w:hAnsi="Arial" w:cs="Arial"/>
                <w:sz w:val="20"/>
                <w:szCs w:val="20"/>
                <w:lang w:val="es-MX" w:eastAsia="es-MX"/>
              </w:rPr>
              <w:t>Contar con la debida disponibilidad presupuestal y financiera;</w:t>
            </w:r>
          </w:p>
          <w:p w:rsidR="006A720F" w:rsidRPr="006A720F" w:rsidRDefault="006A720F" w:rsidP="006A720F">
            <w:pPr>
              <w:spacing w:before="100" w:beforeAutospacing="1" w:after="100" w:afterAutospacing="1" w:line="240" w:lineRule="auto"/>
              <w:ind w:left="1440"/>
              <w:contextualSpacing/>
              <w:jc w:val="both"/>
              <w:rPr>
                <w:rFonts w:ascii="Arial" w:eastAsia="Times New Roman" w:hAnsi="Arial" w:cs="Arial"/>
                <w:sz w:val="20"/>
                <w:szCs w:val="20"/>
                <w:lang w:val="es-MX" w:eastAsia="es-MX"/>
              </w:rPr>
            </w:pPr>
          </w:p>
          <w:p w:rsidR="001F51EC" w:rsidRPr="006A720F" w:rsidRDefault="001F51EC" w:rsidP="006A720F">
            <w:pPr>
              <w:numPr>
                <w:ilvl w:val="0"/>
                <w:numId w:val="5"/>
              </w:numPr>
              <w:spacing w:before="100" w:beforeAutospacing="1" w:after="100" w:afterAutospacing="1" w:line="240" w:lineRule="auto"/>
              <w:contextualSpacing/>
              <w:jc w:val="both"/>
              <w:rPr>
                <w:rFonts w:ascii="Arial" w:eastAsia="Times New Roman" w:hAnsi="Arial" w:cs="Arial"/>
                <w:sz w:val="20"/>
                <w:szCs w:val="20"/>
                <w:lang w:val="es-MX" w:eastAsia="es-MX"/>
              </w:rPr>
            </w:pPr>
            <w:r w:rsidRPr="006A720F">
              <w:rPr>
                <w:rFonts w:ascii="Arial" w:eastAsia="Times New Roman" w:hAnsi="Arial" w:cs="Arial"/>
                <w:sz w:val="20"/>
                <w:szCs w:val="20"/>
                <w:lang w:val="es-MX" w:eastAsia="es-MX"/>
              </w:rPr>
              <w:t>Que la justificación sea suficientemente fehaciente;</w:t>
            </w:r>
          </w:p>
          <w:p w:rsidR="001F51EC" w:rsidRPr="001F51EC" w:rsidRDefault="001F51EC" w:rsidP="006A720F">
            <w:pPr>
              <w:spacing w:before="100" w:beforeAutospacing="1" w:after="100" w:afterAutospacing="1" w:line="240" w:lineRule="auto"/>
              <w:ind w:left="1440"/>
              <w:contextualSpacing/>
              <w:jc w:val="both"/>
              <w:rPr>
                <w:rFonts w:ascii="Arial" w:eastAsia="Times New Roman" w:hAnsi="Arial" w:cs="Arial"/>
                <w:sz w:val="20"/>
                <w:szCs w:val="20"/>
                <w:lang w:val="es-MX" w:eastAsia="es-MX"/>
              </w:rPr>
            </w:pPr>
          </w:p>
          <w:p w:rsidR="001F51EC" w:rsidRPr="001F51EC" w:rsidRDefault="001F51EC" w:rsidP="006A720F">
            <w:pPr>
              <w:numPr>
                <w:ilvl w:val="0"/>
                <w:numId w:val="5"/>
              </w:numPr>
              <w:spacing w:before="100" w:beforeAutospacing="1" w:after="100" w:afterAutospacing="1" w:line="240" w:lineRule="auto"/>
              <w:contextualSpacing/>
              <w:jc w:val="both"/>
              <w:rPr>
                <w:rFonts w:ascii="Arial" w:eastAsia="Times New Roman" w:hAnsi="Arial" w:cs="Arial"/>
                <w:sz w:val="20"/>
                <w:szCs w:val="20"/>
                <w:lang w:val="es-MX" w:eastAsia="es-MX"/>
              </w:rPr>
            </w:pPr>
            <w:r w:rsidRPr="001F51EC">
              <w:rPr>
                <w:rFonts w:ascii="Arial" w:eastAsia="Times New Roman" w:hAnsi="Arial" w:cs="Arial"/>
                <w:sz w:val="20"/>
                <w:szCs w:val="20"/>
                <w:lang w:val="es-MX" w:eastAsia="es-MX"/>
              </w:rPr>
              <w:t>Especificar claramente los conceptos a que se destinarán los recursos;</w:t>
            </w:r>
          </w:p>
          <w:p w:rsidR="001F51EC" w:rsidRPr="001F51EC" w:rsidRDefault="001F51EC" w:rsidP="001F51EC">
            <w:pPr>
              <w:spacing w:after="160" w:line="256" w:lineRule="auto"/>
              <w:ind w:left="720"/>
              <w:contextualSpacing/>
              <w:rPr>
                <w:rFonts w:ascii="Arial" w:eastAsia="Times New Roman" w:hAnsi="Arial" w:cs="Arial"/>
                <w:sz w:val="20"/>
                <w:szCs w:val="20"/>
                <w:lang w:val="es-MX" w:eastAsia="es-MX"/>
              </w:rPr>
            </w:pPr>
          </w:p>
          <w:p w:rsidR="001F51EC" w:rsidRPr="001F51EC" w:rsidRDefault="001F51EC" w:rsidP="006A720F">
            <w:pPr>
              <w:numPr>
                <w:ilvl w:val="0"/>
                <w:numId w:val="5"/>
              </w:numPr>
              <w:spacing w:before="100" w:beforeAutospacing="1" w:after="100" w:afterAutospacing="1" w:line="240" w:lineRule="auto"/>
              <w:contextualSpacing/>
              <w:jc w:val="both"/>
              <w:rPr>
                <w:rFonts w:ascii="Arial" w:eastAsia="Times New Roman" w:hAnsi="Arial" w:cs="Arial"/>
                <w:i/>
                <w:sz w:val="20"/>
                <w:szCs w:val="20"/>
                <w:lang w:val="es-MX" w:eastAsia="es-MX"/>
              </w:rPr>
            </w:pPr>
            <w:r w:rsidRPr="001F51EC">
              <w:rPr>
                <w:rFonts w:ascii="Arial" w:eastAsia="Times New Roman" w:hAnsi="Arial" w:cs="Arial"/>
                <w:sz w:val="20"/>
                <w:szCs w:val="20"/>
                <w:lang w:val="es-MX" w:eastAsia="es-MX"/>
              </w:rPr>
              <w:t xml:space="preserve">Anexar pliego de comisión, oficio de autorización, programa, y/o convocatoria para </w:t>
            </w:r>
            <w:r w:rsidR="0013777E">
              <w:rPr>
                <w:rFonts w:ascii="Arial" w:eastAsia="Times New Roman" w:hAnsi="Arial" w:cs="Arial"/>
                <w:i/>
                <w:sz w:val="20"/>
                <w:szCs w:val="20"/>
                <w:lang w:val="es-MX" w:eastAsia="es-MX"/>
              </w:rPr>
              <w:t>viáticos anticipados</w:t>
            </w:r>
            <w:r w:rsidRPr="001F51EC">
              <w:rPr>
                <w:rFonts w:ascii="Arial" w:eastAsia="Times New Roman" w:hAnsi="Arial" w:cs="Arial"/>
                <w:i/>
                <w:sz w:val="20"/>
                <w:szCs w:val="20"/>
                <w:lang w:val="es-MX" w:eastAsia="es-MX"/>
              </w:rPr>
              <w:t>;</w:t>
            </w:r>
          </w:p>
          <w:p w:rsidR="001F51EC" w:rsidRPr="001F51EC" w:rsidRDefault="001F51EC" w:rsidP="001F51EC">
            <w:pPr>
              <w:spacing w:after="160" w:line="256" w:lineRule="auto"/>
              <w:ind w:left="720"/>
              <w:contextualSpacing/>
              <w:rPr>
                <w:rFonts w:ascii="Arial" w:eastAsia="Times New Roman" w:hAnsi="Arial" w:cs="Arial"/>
                <w:sz w:val="20"/>
                <w:szCs w:val="20"/>
                <w:lang w:val="es-MX" w:eastAsia="es-MX"/>
              </w:rPr>
            </w:pPr>
          </w:p>
          <w:p w:rsidR="001F51EC" w:rsidRPr="001F51EC" w:rsidRDefault="001F51EC" w:rsidP="006A720F">
            <w:pPr>
              <w:numPr>
                <w:ilvl w:val="0"/>
                <w:numId w:val="5"/>
              </w:numPr>
              <w:spacing w:before="100" w:beforeAutospacing="1" w:after="100" w:afterAutospacing="1" w:line="240" w:lineRule="auto"/>
              <w:contextualSpacing/>
              <w:jc w:val="both"/>
              <w:rPr>
                <w:rFonts w:ascii="Arial" w:eastAsia="Times New Roman" w:hAnsi="Arial" w:cs="Arial"/>
                <w:sz w:val="20"/>
                <w:szCs w:val="20"/>
                <w:lang w:val="es-MX" w:eastAsia="es-MX"/>
              </w:rPr>
            </w:pPr>
            <w:r w:rsidRPr="001F51EC">
              <w:rPr>
                <w:rFonts w:ascii="Arial" w:eastAsia="Times New Roman" w:hAnsi="Arial" w:cs="Arial"/>
                <w:sz w:val="20"/>
                <w:szCs w:val="20"/>
                <w:lang w:val="es-MX" w:eastAsia="es-MX"/>
              </w:rPr>
              <w:t>Adjuntarle un recibo que contenga el concepto de “</w:t>
            </w:r>
            <w:r w:rsidR="0013777E">
              <w:rPr>
                <w:rFonts w:ascii="Arial" w:eastAsia="Times New Roman" w:hAnsi="Arial" w:cs="Arial"/>
                <w:sz w:val="20"/>
                <w:szCs w:val="20"/>
                <w:lang w:val="es-MX" w:eastAsia="es-MX"/>
              </w:rPr>
              <w:t>Viáticos anticipados</w:t>
            </w:r>
            <w:r w:rsidRPr="001F51EC">
              <w:rPr>
                <w:rFonts w:ascii="Arial" w:eastAsia="Times New Roman" w:hAnsi="Arial" w:cs="Arial"/>
                <w:sz w:val="20"/>
                <w:szCs w:val="20"/>
                <w:lang w:val="es-MX" w:eastAsia="es-MX"/>
              </w:rPr>
              <w:t>”, así como la firma autógrafa del servidor público autorizado que va a realizar el gasto;</w:t>
            </w:r>
          </w:p>
          <w:p w:rsidR="001F51EC" w:rsidRPr="001F51EC" w:rsidRDefault="001F51EC" w:rsidP="001F51EC">
            <w:pPr>
              <w:spacing w:after="160" w:line="256" w:lineRule="auto"/>
              <w:ind w:left="720"/>
              <w:contextualSpacing/>
              <w:rPr>
                <w:rFonts w:ascii="Arial" w:eastAsia="Times New Roman" w:hAnsi="Arial" w:cs="Arial"/>
                <w:sz w:val="20"/>
                <w:szCs w:val="20"/>
                <w:lang w:val="es-MX" w:eastAsia="es-MX"/>
              </w:rPr>
            </w:pPr>
          </w:p>
          <w:p w:rsidR="001F51EC" w:rsidRPr="001F51EC" w:rsidRDefault="001F51EC" w:rsidP="006A720F">
            <w:pPr>
              <w:spacing w:before="100" w:beforeAutospacing="1" w:after="100" w:afterAutospacing="1" w:line="240" w:lineRule="auto"/>
              <w:jc w:val="center"/>
              <w:rPr>
                <w:rFonts w:ascii="Geneva" w:eastAsia="Times New Roman" w:hAnsi="Geneva" w:cs="Times New Roman"/>
                <w:b/>
                <w:bCs/>
                <w:sz w:val="20"/>
                <w:szCs w:val="20"/>
                <w:lang w:eastAsia="es-ES"/>
              </w:rPr>
            </w:pPr>
            <w:r w:rsidRPr="001F51EC">
              <w:rPr>
                <w:rFonts w:ascii="Geneva" w:eastAsia="Times New Roman" w:hAnsi="Geneva" w:cs="Times New Roman"/>
                <w:b/>
                <w:bCs/>
                <w:sz w:val="20"/>
                <w:szCs w:val="20"/>
                <w:lang w:eastAsia="es-ES"/>
              </w:rPr>
              <w:t>Amortización de los recursos</w:t>
            </w:r>
          </w:p>
          <w:p w:rsidR="001F51EC" w:rsidRPr="001F51EC" w:rsidRDefault="001F51EC" w:rsidP="001F51EC">
            <w:pPr>
              <w:spacing w:before="100" w:beforeAutospacing="1" w:after="100" w:afterAutospacing="1" w:line="240" w:lineRule="auto"/>
              <w:jc w:val="both"/>
              <w:rPr>
                <w:rFonts w:ascii="Arial" w:eastAsia="Times New Roman" w:hAnsi="Arial" w:cs="Arial"/>
                <w:sz w:val="20"/>
                <w:szCs w:val="20"/>
                <w:lang w:val="es-MX" w:eastAsia="es-MX"/>
              </w:rPr>
            </w:pPr>
            <w:r w:rsidRPr="001F51EC">
              <w:rPr>
                <w:rFonts w:ascii="Arial" w:eastAsia="Times New Roman" w:hAnsi="Arial" w:cs="Arial"/>
                <w:sz w:val="20"/>
                <w:szCs w:val="20"/>
                <w:lang w:val="es-MX" w:eastAsia="es-MX"/>
              </w:rPr>
              <w:t>Para amortizar los recursos que se les otorgaron como “</w:t>
            </w:r>
            <w:r w:rsidR="0013777E">
              <w:rPr>
                <w:rFonts w:ascii="Arial" w:eastAsia="Times New Roman" w:hAnsi="Arial" w:cs="Arial"/>
                <w:sz w:val="20"/>
                <w:szCs w:val="20"/>
                <w:lang w:val="es-MX" w:eastAsia="es-MX"/>
              </w:rPr>
              <w:t>Viáticos anticipados</w:t>
            </w:r>
            <w:r w:rsidRPr="001F51EC">
              <w:rPr>
                <w:rFonts w:ascii="Arial" w:eastAsia="Times New Roman" w:hAnsi="Arial" w:cs="Arial"/>
                <w:sz w:val="20"/>
                <w:szCs w:val="20"/>
                <w:lang w:val="es-MX" w:eastAsia="es-MX"/>
              </w:rPr>
              <w:t>” y con el propósito de realizar una correcta afectación presupuestal y contable, se requiere que:</w:t>
            </w:r>
          </w:p>
          <w:p w:rsidR="001F51EC" w:rsidRPr="001F51EC" w:rsidRDefault="001F51EC" w:rsidP="001F51EC">
            <w:pPr>
              <w:numPr>
                <w:ilvl w:val="0"/>
                <w:numId w:val="4"/>
              </w:numPr>
              <w:spacing w:before="100" w:beforeAutospacing="1" w:after="100" w:afterAutospacing="1" w:line="240" w:lineRule="auto"/>
              <w:contextualSpacing/>
              <w:jc w:val="both"/>
              <w:rPr>
                <w:rFonts w:ascii="Arial" w:eastAsia="Times New Roman" w:hAnsi="Arial" w:cs="Arial"/>
                <w:sz w:val="20"/>
                <w:szCs w:val="20"/>
                <w:lang w:val="es-MX" w:eastAsia="es-MX"/>
              </w:rPr>
            </w:pPr>
            <w:r w:rsidRPr="001F51EC">
              <w:rPr>
                <w:rFonts w:ascii="Arial" w:eastAsia="Times New Roman" w:hAnsi="Arial" w:cs="Arial"/>
                <w:sz w:val="20"/>
                <w:szCs w:val="20"/>
                <w:lang w:val="es-MX" w:eastAsia="es-MX"/>
              </w:rPr>
              <w:t>Todas las comprobaciones que se presenten, estén integradas en un 100%.</w:t>
            </w:r>
          </w:p>
          <w:p w:rsidR="001F51EC" w:rsidRPr="001F51EC" w:rsidRDefault="001F51EC" w:rsidP="001F51EC">
            <w:pPr>
              <w:numPr>
                <w:ilvl w:val="0"/>
                <w:numId w:val="4"/>
              </w:numPr>
              <w:spacing w:before="100" w:beforeAutospacing="1" w:after="100" w:afterAutospacing="1" w:line="240" w:lineRule="auto"/>
              <w:contextualSpacing/>
              <w:jc w:val="both"/>
              <w:rPr>
                <w:rFonts w:ascii="Arial" w:eastAsia="Times New Roman" w:hAnsi="Arial" w:cs="Arial"/>
                <w:sz w:val="20"/>
                <w:szCs w:val="20"/>
                <w:lang w:val="es-MX" w:eastAsia="es-MX"/>
              </w:rPr>
            </w:pPr>
            <w:r w:rsidRPr="001F51EC">
              <w:rPr>
                <w:rFonts w:ascii="Arial" w:eastAsia="Times New Roman" w:hAnsi="Arial" w:cs="Arial"/>
                <w:sz w:val="20"/>
                <w:szCs w:val="20"/>
                <w:lang w:val="es-MX" w:eastAsia="es-MX"/>
              </w:rPr>
              <w:t>La comprobación se deberá presentar en un plazo no mayor a 5 días después de la ministración; solo en caso de cierre del periodo se requiere al siguiente día hábil.</w:t>
            </w:r>
            <w:r w:rsidR="0013777E">
              <w:rPr>
                <w:rFonts w:ascii="Arial" w:eastAsia="Times New Roman" w:hAnsi="Arial" w:cs="Arial"/>
                <w:sz w:val="20"/>
                <w:szCs w:val="20"/>
                <w:lang w:val="es-MX" w:eastAsia="es-MX"/>
              </w:rPr>
              <w:t xml:space="preserve"> </w:t>
            </w:r>
            <w:r w:rsidR="0013777E" w:rsidRPr="00AA39F9">
              <w:rPr>
                <w:rFonts w:ascii="Arial" w:eastAsia="Times New Roman" w:hAnsi="Arial" w:cs="Arial"/>
                <w:sz w:val="20"/>
                <w:szCs w:val="20"/>
                <w:lang w:eastAsia="es-MX"/>
              </w:rPr>
              <w:t xml:space="preserve"> </w:t>
            </w:r>
            <w:r w:rsidR="0013777E" w:rsidRPr="00AA39F9">
              <w:rPr>
                <w:rFonts w:ascii="Arial" w:eastAsia="Times New Roman" w:hAnsi="Arial" w:cs="Arial"/>
                <w:sz w:val="20"/>
                <w:szCs w:val="20"/>
                <w:lang w:eastAsia="es-MX"/>
              </w:rPr>
              <w:t xml:space="preserve">En el caso del personal de apoyo adscrito al departamento de Mantenimiento </w:t>
            </w:r>
            <w:r w:rsidR="0013777E">
              <w:rPr>
                <w:rFonts w:ascii="Arial" w:eastAsia="Times New Roman" w:hAnsi="Arial" w:cs="Arial"/>
                <w:sz w:val="20"/>
                <w:szCs w:val="20"/>
                <w:lang w:eastAsia="es-MX"/>
              </w:rPr>
              <w:t xml:space="preserve">e Instalaciones, </w:t>
            </w:r>
            <w:r w:rsidR="0013777E" w:rsidRPr="00AA39F9">
              <w:rPr>
                <w:rFonts w:ascii="Arial" w:eastAsia="Times New Roman" w:hAnsi="Arial" w:cs="Arial"/>
                <w:sz w:val="20"/>
                <w:szCs w:val="20"/>
                <w:lang w:eastAsia="es-MX"/>
              </w:rPr>
              <w:t xml:space="preserve">que realice comisiones de apoyo a terceros (personal y alumnos), deberá realizar su comprobación el último día hábil del mes correspondiente </w:t>
            </w:r>
            <w:r w:rsidR="0013777E">
              <w:rPr>
                <w:rFonts w:ascii="Arial" w:eastAsia="Times New Roman" w:hAnsi="Arial" w:cs="Arial"/>
                <w:sz w:val="20"/>
                <w:szCs w:val="20"/>
                <w:lang w:eastAsia="es-MX"/>
              </w:rPr>
              <w:t>que recibió la ministración del recurso</w:t>
            </w:r>
            <w:r w:rsidR="0013777E" w:rsidRPr="00AA39F9">
              <w:rPr>
                <w:rFonts w:ascii="Arial" w:eastAsia="Times New Roman" w:hAnsi="Arial" w:cs="Arial"/>
                <w:sz w:val="20"/>
                <w:szCs w:val="20"/>
                <w:lang w:eastAsia="es-MX"/>
              </w:rPr>
              <w:t>.</w:t>
            </w:r>
          </w:p>
          <w:p w:rsidR="001F51EC" w:rsidRPr="001F51EC" w:rsidRDefault="001F51EC" w:rsidP="001F51EC">
            <w:pPr>
              <w:numPr>
                <w:ilvl w:val="0"/>
                <w:numId w:val="4"/>
              </w:numPr>
              <w:spacing w:before="100" w:beforeAutospacing="1" w:after="100" w:afterAutospacing="1" w:line="240" w:lineRule="auto"/>
              <w:contextualSpacing/>
              <w:jc w:val="both"/>
              <w:rPr>
                <w:rFonts w:ascii="Arial" w:eastAsia="Times New Roman" w:hAnsi="Arial" w:cs="Arial"/>
                <w:sz w:val="20"/>
                <w:szCs w:val="20"/>
                <w:lang w:val="es-MX" w:eastAsia="es-MX"/>
              </w:rPr>
            </w:pPr>
            <w:r w:rsidRPr="001F51EC">
              <w:rPr>
                <w:rFonts w:ascii="Arial" w:eastAsia="Times New Roman" w:hAnsi="Arial" w:cs="Arial"/>
                <w:sz w:val="20"/>
                <w:szCs w:val="20"/>
                <w:lang w:val="es-MX" w:eastAsia="es-MX"/>
              </w:rPr>
              <w:t>En caso de que exista un reintegro en efectivo serán depositados a la cuenta de retiro.</w:t>
            </w:r>
          </w:p>
          <w:p w:rsidR="001F51EC" w:rsidRPr="001F51EC" w:rsidRDefault="001F51EC" w:rsidP="001F51EC">
            <w:pPr>
              <w:numPr>
                <w:ilvl w:val="0"/>
                <w:numId w:val="4"/>
              </w:numPr>
              <w:spacing w:before="100" w:beforeAutospacing="1" w:after="100" w:afterAutospacing="1" w:line="240" w:lineRule="auto"/>
              <w:contextualSpacing/>
              <w:jc w:val="both"/>
              <w:rPr>
                <w:rFonts w:ascii="Arial" w:eastAsia="Times New Roman" w:hAnsi="Arial" w:cs="Arial"/>
                <w:sz w:val="20"/>
                <w:szCs w:val="20"/>
                <w:lang w:val="es-MX" w:eastAsia="es-MX"/>
              </w:rPr>
            </w:pPr>
            <w:r w:rsidRPr="001F51EC">
              <w:rPr>
                <w:rFonts w:ascii="Arial" w:eastAsia="Times New Roman" w:hAnsi="Arial" w:cs="Arial"/>
                <w:sz w:val="20"/>
                <w:szCs w:val="20"/>
                <w:lang w:val="es-MX" w:eastAsia="es-MX"/>
              </w:rPr>
              <w:t>La documentación comprobatoria deberá cumplir con los requisitos fiscales establecidos en los Artículos 29 y 29-A del Código Fiscal de la Federación, Capítulo V de su Reglamento, así como en el Capítulo 2.7 de la Resolución Miscelánea Fiscal para 2017 publicada en el Diario Oficial de la Federación el 23 de diciembre de 2016 así como el Anexo 20 vigente.</w:t>
            </w:r>
          </w:p>
          <w:p w:rsidR="001F51EC" w:rsidRPr="001F51EC" w:rsidRDefault="001F51EC" w:rsidP="001F51EC">
            <w:pPr>
              <w:numPr>
                <w:ilvl w:val="0"/>
                <w:numId w:val="4"/>
              </w:numPr>
              <w:spacing w:before="100" w:beforeAutospacing="1" w:after="100" w:afterAutospacing="1" w:line="240" w:lineRule="auto"/>
              <w:contextualSpacing/>
              <w:jc w:val="both"/>
              <w:rPr>
                <w:rFonts w:ascii="Arial" w:eastAsia="Times New Roman" w:hAnsi="Arial" w:cs="Arial"/>
                <w:sz w:val="20"/>
                <w:szCs w:val="20"/>
                <w:lang w:val="es-MX" w:eastAsia="es-MX"/>
              </w:rPr>
            </w:pPr>
            <w:r w:rsidRPr="001F51EC">
              <w:rPr>
                <w:rFonts w:ascii="Arial" w:eastAsia="Times New Roman" w:hAnsi="Arial" w:cs="Arial"/>
                <w:sz w:val="20"/>
                <w:szCs w:val="20"/>
                <w:lang w:val="es-MX" w:eastAsia="es-MX"/>
              </w:rPr>
              <w:t>La documentación debe ser original.</w:t>
            </w:r>
          </w:p>
          <w:p w:rsidR="001F51EC" w:rsidRPr="001F51EC" w:rsidRDefault="001F51EC" w:rsidP="001F51EC">
            <w:pPr>
              <w:numPr>
                <w:ilvl w:val="0"/>
                <w:numId w:val="4"/>
              </w:numPr>
              <w:spacing w:before="100" w:beforeAutospacing="1" w:after="100" w:afterAutospacing="1" w:line="240" w:lineRule="auto"/>
              <w:contextualSpacing/>
              <w:jc w:val="both"/>
              <w:rPr>
                <w:rFonts w:ascii="Arial" w:eastAsia="Times New Roman" w:hAnsi="Arial" w:cs="Arial"/>
                <w:sz w:val="20"/>
                <w:szCs w:val="20"/>
                <w:lang w:val="es-MX" w:eastAsia="es-MX"/>
              </w:rPr>
            </w:pPr>
            <w:r w:rsidRPr="001F51EC">
              <w:rPr>
                <w:rFonts w:ascii="Arial" w:eastAsia="Times New Roman" w:hAnsi="Arial" w:cs="Arial"/>
                <w:sz w:val="20"/>
                <w:szCs w:val="20"/>
                <w:lang w:val="es-MX" w:eastAsia="es-MX"/>
              </w:rPr>
              <w:t>Debe estar expedida a nombre de la Universidad Tecnológica del Valle del Mezquital y contener todos los datos fiscales.</w:t>
            </w:r>
          </w:p>
          <w:p w:rsidR="001F51EC" w:rsidRPr="001F51EC" w:rsidRDefault="001F51EC" w:rsidP="001F51EC">
            <w:pPr>
              <w:numPr>
                <w:ilvl w:val="0"/>
                <w:numId w:val="4"/>
              </w:numPr>
              <w:spacing w:before="100" w:beforeAutospacing="1" w:after="100" w:afterAutospacing="1" w:line="240" w:lineRule="auto"/>
              <w:contextualSpacing/>
              <w:jc w:val="both"/>
              <w:rPr>
                <w:rFonts w:ascii="Arial" w:eastAsia="Times New Roman" w:hAnsi="Arial" w:cs="Arial"/>
                <w:sz w:val="20"/>
                <w:szCs w:val="20"/>
                <w:lang w:val="es-MX" w:eastAsia="es-MX"/>
              </w:rPr>
            </w:pPr>
            <w:r w:rsidRPr="001F51EC">
              <w:rPr>
                <w:rFonts w:ascii="Arial" w:eastAsia="Times New Roman" w:hAnsi="Arial" w:cs="Arial"/>
                <w:sz w:val="20"/>
                <w:szCs w:val="20"/>
                <w:lang w:val="es-MX" w:eastAsia="es-MX"/>
              </w:rPr>
              <w:t>No tener tachaduras o enmendaduras.</w:t>
            </w:r>
          </w:p>
          <w:p w:rsidR="001F51EC" w:rsidRPr="001F51EC" w:rsidRDefault="001F51EC" w:rsidP="001F51EC">
            <w:pPr>
              <w:numPr>
                <w:ilvl w:val="0"/>
                <w:numId w:val="4"/>
              </w:numPr>
              <w:spacing w:before="100" w:beforeAutospacing="1" w:after="100" w:afterAutospacing="1" w:line="240" w:lineRule="auto"/>
              <w:contextualSpacing/>
              <w:jc w:val="both"/>
              <w:rPr>
                <w:rFonts w:ascii="Arial" w:eastAsia="Times New Roman" w:hAnsi="Arial" w:cs="Arial"/>
                <w:sz w:val="20"/>
                <w:szCs w:val="20"/>
                <w:lang w:val="es-MX" w:eastAsia="es-MX"/>
              </w:rPr>
            </w:pPr>
            <w:r w:rsidRPr="001F51EC">
              <w:rPr>
                <w:rFonts w:ascii="Arial" w:eastAsia="Times New Roman" w:hAnsi="Arial" w:cs="Arial"/>
                <w:sz w:val="20"/>
                <w:szCs w:val="20"/>
                <w:lang w:val="es-MX" w:eastAsia="es-MX"/>
              </w:rPr>
              <w:t>Enviar los archivos *.XML y *.PDF a los correos facturas.utvm@utvm.edu.mx y facturas_pto@utvm.edu.mx</w:t>
            </w:r>
          </w:p>
          <w:p w:rsidR="001F51EC" w:rsidRDefault="001F51EC" w:rsidP="00C2045F">
            <w:pPr>
              <w:spacing w:before="100" w:beforeAutospacing="1" w:after="100" w:afterAutospacing="1" w:line="240" w:lineRule="auto"/>
              <w:jc w:val="center"/>
              <w:rPr>
                <w:rFonts w:ascii="Geneva" w:eastAsia="Times New Roman" w:hAnsi="Geneva" w:cs="Times New Roman"/>
                <w:b/>
                <w:bCs/>
                <w:sz w:val="20"/>
                <w:szCs w:val="20"/>
                <w:lang w:eastAsia="es-ES"/>
              </w:rPr>
            </w:pPr>
          </w:p>
          <w:p w:rsidR="009F1FA7" w:rsidRDefault="009F1FA7" w:rsidP="00C2045F">
            <w:pPr>
              <w:spacing w:before="100" w:beforeAutospacing="1" w:after="100" w:afterAutospacing="1" w:line="240" w:lineRule="auto"/>
              <w:jc w:val="center"/>
              <w:rPr>
                <w:rFonts w:ascii="Geneva" w:eastAsia="Times New Roman" w:hAnsi="Geneva" w:cs="Times New Roman"/>
                <w:b/>
                <w:bCs/>
                <w:sz w:val="20"/>
                <w:szCs w:val="20"/>
                <w:lang w:eastAsia="es-ES"/>
              </w:rPr>
            </w:pPr>
          </w:p>
          <w:p w:rsidR="009F1FA7" w:rsidRDefault="009F1FA7" w:rsidP="00C2045F">
            <w:pPr>
              <w:spacing w:before="100" w:beforeAutospacing="1" w:after="100" w:afterAutospacing="1" w:line="240" w:lineRule="auto"/>
              <w:jc w:val="center"/>
              <w:rPr>
                <w:rFonts w:ascii="Geneva" w:eastAsia="Times New Roman" w:hAnsi="Geneva" w:cs="Times New Roman"/>
                <w:b/>
                <w:bCs/>
                <w:sz w:val="20"/>
                <w:szCs w:val="20"/>
                <w:lang w:eastAsia="es-ES"/>
              </w:rPr>
            </w:pPr>
          </w:p>
          <w:p w:rsidR="009F1FA7" w:rsidRDefault="009F1FA7" w:rsidP="00C2045F">
            <w:pPr>
              <w:spacing w:before="100" w:beforeAutospacing="1" w:after="100" w:afterAutospacing="1" w:line="240" w:lineRule="auto"/>
              <w:jc w:val="center"/>
              <w:rPr>
                <w:rFonts w:ascii="Geneva" w:eastAsia="Times New Roman" w:hAnsi="Geneva" w:cs="Times New Roman"/>
                <w:b/>
                <w:bCs/>
                <w:sz w:val="20"/>
                <w:szCs w:val="20"/>
                <w:lang w:eastAsia="es-ES"/>
              </w:rPr>
            </w:pPr>
          </w:p>
          <w:p w:rsidR="009F1FA7" w:rsidRDefault="009F1FA7" w:rsidP="00C2045F">
            <w:pPr>
              <w:spacing w:before="100" w:beforeAutospacing="1" w:after="100" w:afterAutospacing="1" w:line="240" w:lineRule="auto"/>
              <w:jc w:val="center"/>
              <w:rPr>
                <w:rFonts w:ascii="Geneva" w:eastAsia="Times New Roman" w:hAnsi="Geneva" w:cs="Times New Roman"/>
                <w:b/>
                <w:bCs/>
                <w:sz w:val="20"/>
                <w:szCs w:val="20"/>
                <w:lang w:eastAsia="es-ES"/>
              </w:rPr>
            </w:pPr>
          </w:p>
          <w:p w:rsidR="009F1FA7" w:rsidRDefault="009F1FA7" w:rsidP="00C2045F">
            <w:pPr>
              <w:spacing w:before="100" w:beforeAutospacing="1" w:after="100" w:afterAutospacing="1" w:line="240" w:lineRule="auto"/>
              <w:jc w:val="center"/>
              <w:rPr>
                <w:rFonts w:ascii="Geneva" w:eastAsia="Times New Roman" w:hAnsi="Geneva" w:cs="Times New Roman"/>
                <w:b/>
                <w:bCs/>
                <w:sz w:val="20"/>
                <w:szCs w:val="20"/>
                <w:lang w:eastAsia="es-ES"/>
              </w:rPr>
            </w:pPr>
          </w:p>
          <w:p w:rsidR="009F1FA7" w:rsidRDefault="009F1FA7" w:rsidP="00C2045F">
            <w:pPr>
              <w:spacing w:before="100" w:beforeAutospacing="1" w:after="100" w:afterAutospacing="1" w:line="240" w:lineRule="auto"/>
              <w:jc w:val="center"/>
              <w:rPr>
                <w:rFonts w:ascii="Geneva" w:eastAsia="Times New Roman" w:hAnsi="Geneva" w:cs="Times New Roman"/>
                <w:b/>
                <w:bCs/>
                <w:sz w:val="20"/>
                <w:szCs w:val="20"/>
                <w:lang w:eastAsia="es-ES"/>
              </w:rPr>
            </w:pPr>
          </w:p>
          <w:p w:rsidR="009F1FA7" w:rsidRDefault="009F1FA7" w:rsidP="00C2045F">
            <w:pPr>
              <w:spacing w:before="100" w:beforeAutospacing="1" w:after="100" w:afterAutospacing="1" w:line="240" w:lineRule="auto"/>
              <w:jc w:val="center"/>
              <w:rPr>
                <w:rFonts w:ascii="Geneva" w:eastAsia="Times New Roman" w:hAnsi="Geneva" w:cs="Times New Roman"/>
                <w:b/>
                <w:bCs/>
                <w:sz w:val="20"/>
                <w:szCs w:val="20"/>
                <w:lang w:eastAsia="es-ES"/>
              </w:rPr>
            </w:pPr>
          </w:p>
          <w:p w:rsidR="009F1FA7" w:rsidRDefault="009F1FA7" w:rsidP="00C2045F">
            <w:pPr>
              <w:spacing w:before="100" w:beforeAutospacing="1" w:after="100" w:afterAutospacing="1" w:line="240" w:lineRule="auto"/>
              <w:jc w:val="center"/>
              <w:rPr>
                <w:rFonts w:ascii="Geneva" w:eastAsia="Times New Roman" w:hAnsi="Geneva" w:cs="Times New Roman"/>
                <w:b/>
                <w:bCs/>
                <w:sz w:val="20"/>
                <w:szCs w:val="20"/>
                <w:lang w:eastAsia="es-ES"/>
              </w:rPr>
            </w:pPr>
          </w:p>
          <w:p w:rsidR="00C2045F" w:rsidRPr="00C2045F" w:rsidRDefault="00C2045F" w:rsidP="00C2045F">
            <w:pPr>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lastRenderedPageBreak/>
              <w:t>ANEXO “A”</w:t>
            </w:r>
          </w:p>
          <w:p w:rsidR="00C2045F" w:rsidRPr="00C2045F" w:rsidRDefault="00C2045F" w:rsidP="00C2045F">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C2045F">
              <w:rPr>
                <w:rFonts w:ascii="Times New Roman" w:eastAsia="Times New Roman" w:hAnsi="Times New Roman" w:cs="Times New Roman"/>
                <w:sz w:val="24"/>
                <w:szCs w:val="24"/>
                <w:lang w:eastAsia="es-ES"/>
              </w:rPr>
              <w:t> </w:t>
            </w:r>
          </w:p>
          <w:p w:rsidR="00C2045F" w:rsidRPr="00C2045F" w:rsidRDefault="00C2045F" w:rsidP="00C2045F">
            <w:pPr>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t xml:space="preserve">REQUISITOS FISCALES DE LOS COMPROBANTES DE GASTOS </w:t>
            </w:r>
          </w:p>
          <w:p w:rsidR="00C2045F" w:rsidRPr="00C2045F" w:rsidRDefault="000172D6" w:rsidP="00C2045F">
            <w:pPr>
              <w:spacing w:before="100" w:beforeAutospacing="1" w:after="100" w:afterAutospacing="1" w:line="240" w:lineRule="auto"/>
              <w:ind w:left="720"/>
              <w:rPr>
                <w:rFonts w:ascii="Geneva" w:eastAsia="Times New Roman" w:hAnsi="Geneva" w:cs="Times New Roman"/>
                <w:sz w:val="20"/>
                <w:szCs w:val="20"/>
                <w:lang w:eastAsia="es-ES"/>
              </w:rPr>
            </w:pPr>
            <w:r>
              <w:rPr>
                <w:rFonts w:ascii="Geneva" w:eastAsia="Times New Roman" w:hAnsi="Geneva" w:cs="Times New Roman"/>
                <w:sz w:val="20"/>
                <w:szCs w:val="20"/>
                <w:lang w:eastAsia="es-ES"/>
              </w:rPr>
              <w:t>I</w:t>
            </w:r>
            <w:r w:rsidR="00C2045F" w:rsidRPr="00C2045F">
              <w:rPr>
                <w:rFonts w:ascii="Geneva" w:eastAsia="Times New Roman" w:hAnsi="Geneva" w:cs="Times New Roman"/>
                <w:sz w:val="20"/>
                <w:szCs w:val="20"/>
                <w:lang w:eastAsia="es-ES"/>
              </w:rPr>
              <w:t>. Datos de identificación de la Universidad, los cuales son:</w:t>
            </w:r>
          </w:p>
          <w:p w:rsidR="00C2045F" w:rsidRPr="00C2045F" w:rsidRDefault="00C2045F" w:rsidP="00FE695B">
            <w:pPr>
              <w:spacing w:before="100" w:beforeAutospacing="1" w:after="100" w:afterAutospacing="1" w:line="240" w:lineRule="auto"/>
              <w:ind w:left="708"/>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Universidad Tecnológica del Valle del Mezquital</w:t>
            </w:r>
            <w:r w:rsidRPr="00C2045F">
              <w:rPr>
                <w:rFonts w:ascii="Geneva" w:eastAsia="Times New Roman" w:hAnsi="Geneva" w:cs="Times New Roman"/>
                <w:sz w:val="20"/>
                <w:szCs w:val="20"/>
                <w:lang w:eastAsia="es-ES"/>
              </w:rPr>
              <w:br/>
            </w:r>
            <w:r w:rsidRPr="00C2045F">
              <w:rPr>
                <w:rFonts w:ascii="Geneva" w:eastAsia="Times New Roman" w:hAnsi="Geneva" w:cs="Times New Roman"/>
                <w:b/>
                <w:bCs/>
                <w:sz w:val="20"/>
                <w:szCs w:val="20"/>
                <w:lang w:eastAsia="es-ES"/>
              </w:rPr>
              <w:t xml:space="preserve">Carretera Ixmiquilpan – </w:t>
            </w:r>
            <w:proofErr w:type="spellStart"/>
            <w:r w:rsidRPr="00C2045F">
              <w:rPr>
                <w:rFonts w:ascii="Geneva" w:eastAsia="Times New Roman" w:hAnsi="Geneva" w:cs="Times New Roman"/>
                <w:b/>
                <w:bCs/>
                <w:sz w:val="20"/>
                <w:szCs w:val="20"/>
                <w:lang w:eastAsia="es-ES"/>
              </w:rPr>
              <w:t>Capula</w:t>
            </w:r>
            <w:proofErr w:type="spellEnd"/>
            <w:r w:rsidRPr="00C2045F">
              <w:rPr>
                <w:rFonts w:ascii="Geneva" w:eastAsia="Times New Roman" w:hAnsi="Geneva" w:cs="Times New Roman"/>
                <w:b/>
                <w:bCs/>
                <w:sz w:val="20"/>
                <w:szCs w:val="20"/>
                <w:lang w:eastAsia="es-ES"/>
              </w:rPr>
              <w:t xml:space="preserve"> Km. 4, Colonia El </w:t>
            </w:r>
            <w:proofErr w:type="spellStart"/>
            <w:r w:rsidRPr="00C2045F">
              <w:rPr>
                <w:rFonts w:ascii="Geneva" w:eastAsia="Times New Roman" w:hAnsi="Geneva" w:cs="Times New Roman"/>
                <w:b/>
                <w:bCs/>
                <w:sz w:val="20"/>
                <w:szCs w:val="20"/>
                <w:lang w:eastAsia="es-ES"/>
              </w:rPr>
              <w:t>Nith</w:t>
            </w:r>
            <w:proofErr w:type="spellEnd"/>
            <w:r w:rsidRPr="00C2045F">
              <w:rPr>
                <w:rFonts w:ascii="Geneva" w:eastAsia="Times New Roman" w:hAnsi="Geneva" w:cs="Times New Roman"/>
                <w:sz w:val="20"/>
                <w:szCs w:val="20"/>
                <w:lang w:eastAsia="es-ES"/>
              </w:rPr>
              <w:br/>
            </w:r>
            <w:r w:rsidRPr="00C2045F">
              <w:rPr>
                <w:rFonts w:ascii="Geneva" w:eastAsia="Times New Roman" w:hAnsi="Geneva" w:cs="Times New Roman"/>
                <w:b/>
                <w:bCs/>
                <w:sz w:val="20"/>
                <w:szCs w:val="20"/>
                <w:lang w:eastAsia="es-ES"/>
              </w:rPr>
              <w:t>Ixmiquilpan, Hidalgo, C.P. 42300</w:t>
            </w:r>
            <w:r w:rsidRPr="00C2045F">
              <w:rPr>
                <w:rFonts w:ascii="Geneva" w:eastAsia="Times New Roman" w:hAnsi="Geneva" w:cs="Times New Roman"/>
                <w:sz w:val="20"/>
                <w:szCs w:val="20"/>
                <w:lang w:eastAsia="es-ES"/>
              </w:rPr>
              <w:br/>
            </w:r>
            <w:r w:rsidRPr="00C2045F">
              <w:rPr>
                <w:rFonts w:ascii="Geneva" w:eastAsia="Times New Roman" w:hAnsi="Geneva" w:cs="Times New Roman"/>
                <w:b/>
                <w:bCs/>
                <w:sz w:val="20"/>
                <w:szCs w:val="20"/>
                <w:lang w:eastAsia="es-ES"/>
              </w:rPr>
              <w:t>RFC:  UTV 960729 IJ3</w:t>
            </w:r>
            <w:r w:rsidRPr="00C2045F">
              <w:rPr>
                <w:rFonts w:ascii="Geneva" w:eastAsia="Times New Roman" w:hAnsi="Geneva" w:cs="Times New Roman"/>
                <w:sz w:val="20"/>
                <w:szCs w:val="20"/>
                <w:lang w:eastAsia="es-ES"/>
              </w:rPr>
              <w:t xml:space="preserve"> </w:t>
            </w:r>
          </w:p>
          <w:p w:rsidR="000172D6" w:rsidRDefault="000172D6" w:rsidP="00C2045F">
            <w:pPr>
              <w:spacing w:before="100" w:beforeAutospacing="1" w:after="100" w:afterAutospacing="1" w:line="240" w:lineRule="auto"/>
              <w:ind w:left="720"/>
              <w:rPr>
                <w:rFonts w:ascii="Geneva" w:eastAsia="Times New Roman" w:hAnsi="Geneva" w:cs="Times New Roman"/>
                <w:sz w:val="20"/>
                <w:szCs w:val="20"/>
                <w:lang w:eastAsia="es-ES"/>
              </w:rPr>
            </w:pPr>
            <w:r>
              <w:rPr>
                <w:rFonts w:ascii="Geneva" w:eastAsia="Times New Roman" w:hAnsi="Geneva" w:cs="Times New Roman"/>
                <w:sz w:val="20"/>
                <w:szCs w:val="20"/>
                <w:lang w:eastAsia="es-ES"/>
              </w:rPr>
              <w:t xml:space="preserve">II. </w:t>
            </w:r>
            <w:r w:rsidRPr="000172D6">
              <w:rPr>
                <w:rFonts w:ascii="Geneva" w:eastAsia="Times New Roman" w:hAnsi="Geneva" w:cs="Times New Roman"/>
                <w:sz w:val="20"/>
                <w:szCs w:val="20"/>
                <w:lang w:eastAsia="es-ES"/>
              </w:rPr>
              <w:t xml:space="preserve">Modalidades de facturación para el ejercicio fiscal de 2017. </w:t>
            </w:r>
          </w:p>
          <w:p w:rsidR="00126558" w:rsidRDefault="000172D6" w:rsidP="00126558">
            <w:pPr>
              <w:spacing w:before="100" w:beforeAutospacing="1" w:after="100" w:afterAutospacing="1" w:line="240" w:lineRule="auto"/>
              <w:ind w:left="720"/>
              <w:jc w:val="both"/>
              <w:rPr>
                <w:rFonts w:ascii="Geneva" w:eastAsia="Times New Roman" w:hAnsi="Geneva" w:cs="Times New Roman"/>
                <w:sz w:val="20"/>
                <w:szCs w:val="20"/>
                <w:lang w:eastAsia="es-ES"/>
              </w:rPr>
            </w:pPr>
            <w:r w:rsidRPr="000172D6">
              <w:rPr>
                <w:rFonts w:ascii="Geneva" w:eastAsia="Times New Roman" w:hAnsi="Geneva" w:cs="Times New Roman"/>
                <w:sz w:val="20"/>
                <w:szCs w:val="20"/>
                <w:lang w:eastAsia="es-ES"/>
              </w:rPr>
              <w:t>Los Comprobantes Fiscales Digitales por Internet (CFDI), tienen la característica de ser archivos electrónicos (con extensión .</w:t>
            </w:r>
            <w:proofErr w:type="spellStart"/>
            <w:r w:rsidRPr="000172D6">
              <w:rPr>
                <w:rFonts w:ascii="Geneva" w:eastAsia="Times New Roman" w:hAnsi="Geneva" w:cs="Times New Roman"/>
                <w:sz w:val="20"/>
                <w:szCs w:val="20"/>
                <w:lang w:eastAsia="es-ES"/>
              </w:rPr>
              <w:t>xml</w:t>
            </w:r>
            <w:proofErr w:type="spellEnd"/>
            <w:r w:rsidRPr="000172D6">
              <w:rPr>
                <w:rFonts w:ascii="Geneva" w:eastAsia="Times New Roman" w:hAnsi="Geneva" w:cs="Times New Roman"/>
                <w:sz w:val="20"/>
                <w:szCs w:val="20"/>
                <w:lang w:eastAsia="es-ES"/>
              </w:rPr>
              <w:t xml:space="preserve"> y su representación en </w:t>
            </w:r>
            <w:proofErr w:type="spellStart"/>
            <w:r w:rsidRPr="000172D6">
              <w:rPr>
                <w:rFonts w:ascii="Geneva" w:eastAsia="Times New Roman" w:hAnsi="Geneva" w:cs="Times New Roman"/>
                <w:sz w:val="20"/>
                <w:szCs w:val="20"/>
                <w:lang w:eastAsia="es-ES"/>
              </w:rPr>
              <w:t>pdf</w:t>
            </w:r>
            <w:proofErr w:type="spellEnd"/>
            <w:r w:rsidRPr="000172D6">
              <w:rPr>
                <w:rFonts w:ascii="Geneva" w:eastAsia="Times New Roman" w:hAnsi="Geneva" w:cs="Times New Roman"/>
                <w:sz w:val="20"/>
                <w:szCs w:val="20"/>
                <w:lang w:eastAsia="es-ES"/>
              </w:rPr>
              <w:t xml:space="preserve">). </w:t>
            </w:r>
            <w:r w:rsidR="00126558">
              <w:rPr>
                <w:rFonts w:ascii="Geneva" w:eastAsia="Times New Roman" w:hAnsi="Geneva" w:cs="Times New Roman"/>
                <w:sz w:val="20"/>
                <w:szCs w:val="20"/>
                <w:lang w:eastAsia="es-ES"/>
              </w:rPr>
              <w:t>Los archivos .</w:t>
            </w:r>
            <w:proofErr w:type="spellStart"/>
            <w:r w:rsidR="00126558">
              <w:rPr>
                <w:rFonts w:ascii="Geneva" w:eastAsia="Times New Roman" w:hAnsi="Geneva" w:cs="Times New Roman"/>
                <w:sz w:val="20"/>
                <w:szCs w:val="20"/>
                <w:lang w:eastAsia="es-ES"/>
              </w:rPr>
              <w:t>xml</w:t>
            </w:r>
            <w:proofErr w:type="spellEnd"/>
            <w:r w:rsidR="00126558">
              <w:rPr>
                <w:rFonts w:ascii="Geneva" w:eastAsia="Times New Roman" w:hAnsi="Geneva" w:cs="Times New Roman"/>
                <w:sz w:val="20"/>
                <w:szCs w:val="20"/>
                <w:lang w:eastAsia="es-ES"/>
              </w:rPr>
              <w:t xml:space="preserve"> y </w:t>
            </w:r>
            <w:proofErr w:type="spellStart"/>
            <w:r w:rsidR="00126558">
              <w:rPr>
                <w:rFonts w:ascii="Geneva" w:eastAsia="Times New Roman" w:hAnsi="Geneva" w:cs="Times New Roman"/>
                <w:sz w:val="20"/>
                <w:szCs w:val="20"/>
                <w:lang w:eastAsia="es-ES"/>
              </w:rPr>
              <w:t>pdf</w:t>
            </w:r>
            <w:proofErr w:type="spellEnd"/>
            <w:r w:rsidR="00126558">
              <w:rPr>
                <w:rFonts w:ascii="Geneva" w:eastAsia="Times New Roman" w:hAnsi="Geneva" w:cs="Times New Roman"/>
                <w:sz w:val="20"/>
                <w:szCs w:val="20"/>
                <w:lang w:eastAsia="es-ES"/>
              </w:rPr>
              <w:t>,</w:t>
            </w:r>
            <w:r w:rsidRPr="000172D6">
              <w:rPr>
                <w:rFonts w:ascii="Geneva" w:eastAsia="Times New Roman" w:hAnsi="Geneva" w:cs="Times New Roman"/>
                <w:sz w:val="20"/>
                <w:szCs w:val="20"/>
                <w:lang w:eastAsia="es-ES"/>
              </w:rPr>
              <w:t xml:space="preserve"> deberá</w:t>
            </w:r>
            <w:r w:rsidR="00126558">
              <w:rPr>
                <w:rFonts w:ascii="Geneva" w:eastAsia="Times New Roman" w:hAnsi="Geneva" w:cs="Times New Roman"/>
                <w:sz w:val="20"/>
                <w:szCs w:val="20"/>
                <w:lang w:eastAsia="es-ES"/>
              </w:rPr>
              <w:t>n</w:t>
            </w:r>
            <w:r w:rsidRPr="000172D6">
              <w:rPr>
                <w:rFonts w:ascii="Geneva" w:eastAsia="Times New Roman" w:hAnsi="Geneva" w:cs="Times New Roman"/>
                <w:sz w:val="20"/>
                <w:szCs w:val="20"/>
                <w:lang w:eastAsia="es-ES"/>
              </w:rPr>
              <w:t xml:space="preserve"> ser enviado a </w:t>
            </w:r>
            <w:r w:rsidR="00126558">
              <w:rPr>
                <w:rFonts w:ascii="Geneva" w:eastAsia="Times New Roman" w:hAnsi="Geneva" w:cs="Times New Roman"/>
                <w:sz w:val="20"/>
                <w:szCs w:val="20"/>
                <w:lang w:eastAsia="es-ES"/>
              </w:rPr>
              <w:t xml:space="preserve">los siguientes correos </w:t>
            </w:r>
            <w:hyperlink r:id="rId10" w:history="1">
              <w:r w:rsidR="00126558" w:rsidRPr="007B4DDA">
                <w:rPr>
                  <w:rStyle w:val="Hipervnculo"/>
                  <w:rFonts w:ascii="Geneva" w:eastAsia="Times New Roman" w:hAnsi="Geneva" w:cs="Times New Roman"/>
                  <w:sz w:val="20"/>
                  <w:szCs w:val="20"/>
                  <w:lang w:eastAsia="es-ES"/>
                </w:rPr>
                <w:t>facturas_pto@utvm.edu.mx</w:t>
              </w:r>
            </w:hyperlink>
            <w:r w:rsidR="00126558">
              <w:rPr>
                <w:rFonts w:ascii="Geneva" w:eastAsia="Times New Roman" w:hAnsi="Geneva" w:cs="Times New Roman"/>
                <w:sz w:val="20"/>
                <w:szCs w:val="20"/>
                <w:lang w:eastAsia="es-ES"/>
              </w:rPr>
              <w:t xml:space="preserve"> y </w:t>
            </w:r>
            <w:hyperlink r:id="rId11" w:history="1">
              <w:r w:rsidR="00126558" w:rsidRPr="007B4DDA">
                <w:rPr>
                  <w:rStyle w:val="Hipervnculo"/>
                  <w:rFonts w:ascii="Geneva" w:eastAsia="Times New Roman" w:hAnsi="Geneva" w:cs="Times New Roman"/>
                  <w:sz w:val="20"/>
                  <w:szCs w:val="20"/>
                  <w:lang w:eastAsia="es-ES"/>
                </w:rPr>
                <w:t>facturas.utvm@utvm.edu.mx</w:t>
              </w:r>
            </w:hyperlink>
            <w:r w:rsidR="00126558">
              <w:rPr>
                <w:rFonts w:ascii="Geneva" w:eastAsia="Times New Roman" w:hAnsi="Geneva" w:cs="Times New Roman"/>
                <w:sz w:val="20"/>
                <w:szCs w:val="20"/>
                <w:lang w:eastAsia="es-ES"/>
              </w:rPr>
              <w:t xml:space="preserve"> </w:t>
            </w:r>
            <w:r w:rsidRPr="000172D6">
              <w:rPr>
                <w:rFonts w:ascii="Geneva" w:eastAsia="Times New Roman" w:hAnsi="Geneva" w:cs="Times New Roman"/>
                <w:sz w:val="20"/>
                <w:szCs w:val="20"/>
                <w:lang w:eastAsia="es-ES"/>
              </w:rPr>
              <w:t xml:space="preserve">. </w:t>
            </w:r>
          </w:p>
          <w:p w:rsidR="00126558" w:rsidRDefault="000172D6" w:rsidP="00126558">
            <w:pPr>
              <w:spacing w:before="100" w:beforeAutospacing="1" w:after="100" w:afterAutospacing="1" w:line="240" w:lineRule="auto"/>
              <w:ind w:left="720"/>
              <w:jc w:val="both"/>
              <w:rPr>
                <w:rFonts w:ascii="Geneva" w:eastAsia="Times New Roman" w:hAnsi="Geneva" w:cs="Times New Roman"/>
                <w:sz w:val="20"/>
                <w:szCs w:val="20"/>
                <w:lang w:eastAsia="es-ES"/>
              </w:rPr>
            </w:pPr>
            <w:r w:rsidRPr="000172D6">
              <w:rPr>
                <w:rFonts w:ascii="Geneva" w:eastAsia="Times New Roman" w:hAnsi="Geneva" w:cs="Times New Roman"/>
                <w:sz w:val="20"/>
                <w:szCs w:val="20"/>
                <w:lang w:eastAsia="es-ES"/>
              </w:rPr>
              <w:t xml:space="preserve">La representación impresa, </w:t>
            </w:r>
            <w:r w:rsidR="00126558">
              <w:rPr>
                <w:rFonts w:ascii="Geneva" w:eastAsia="Times New Roman" w:hAnsi="Geneva" w:cs="Times New Roman"/>
                <w:sz w:val="20"/>
                <w:szCs w:val="20"/>
                <w:lang w:eastAsia="es-ES"/>
              </w:rPr>
              <w:t>se entregará en la solicitud de pago.</w:t>
            </w:r>
            <w:r w:rsidRPr="000172D6">
              <w:rPr>
                <w:rFonts w:ascii="Geneva" w:eastAsia="Times New Roman" w:hAnsi="Geneva" w:cs="Times New Roman"/>
                <w:sz w:val="20"/>
                <w:szCs w:val="20"/>
                <w:lang w:eastAsia="es-ES"/>
              </w:rPr>
              <w:t xml:space="preserve"> </w:t>
            </w:r>
          </w:p>
          <w:p w:rsidR="00C2045F" w:rsidRPr="00C2045F" w:rsidRDefault="000172D6" w:rsidP="00126558">
            <w:pPr>
              <w:spacing w:before="100" w:beforeAutospacing="1" w:after="100" w:afterAutospacing="1" w:line="240" w:lineRule="auto"/>
              <w:ind w:left="720"/>
              <w:jc w:val="both"/>
              <w:rPr>
                <w:rFonts w:ascii="Geneva" w:eastAsia="Times New Roman" w:hAnsi="Geneva" w:cs="Times New Roman"/>
                <w:sz w:val="20"/>
                <w:szCs w:val="20"/>
                <w:lang w:eastAsia="es-ES"/>
              </w:rPr>
            </w:pPr>
            <w:r w:rsidRPr="000172D6">
              <w:rPr>
                <w:rFonts w:ascii="Geneva" w:eastAsia="Times New Roman" w:hAnsi="Geneva" w:cs="Times New Roman"/>
                <w:sz w:val="20"/>
                <w:szCs w:val="20"/>
                <w:lang w:eastAsia="es-ES"/>
              </w:rPr>
              <w:t xml:space="preserve">Los comprobantes deberán reunir todos los requisitos fiscales que establezca la legislación en la materia, de acuerdo a la actividad y régimen en que tributen los emisores de los comprobantes ante el SAT. II.2. Requisitos Generales de los Comprobantes Fiscales Digitales por </w:t>
            </w:r>
            <w:r w:rsidR="00C2045F" w:rsidRPr="00C2045F">
              <w:rPr>
                <w:rFonts w:ascii="Geneva" w:eastAsia="Times New Roman" w:hAnsi="Geneva" w:cs="Times New Roman"/>
                <w:sz w:val="20"/>
                <w:szCs w:val="20"/>
                <w:lang w:eastAsia="es-ES"/>
              </w:rPr>
              <w:t>XII. En el caso de recibos de honorarios, contener de manera detallada: el monto de la contraprestación, Impuesto al Valor Agregado, Retención del Impuesto Sobre la Renta, importe a pagar en número y letra y firma del prestador del servicio.</w:t>
            </w:r>
          </w:p>
          <w:p w:rsidR="00C2045F" w:rsidRPr="00C2045F" w:rsidRDefault="00C2045F" w:rsidP="00C2045F">
            <w:pPr>
              <w:spacing w:before="100" w:beforeAutospacing="1" w:after="100" w:afterAutospacing="1" w:line="240" w:lineRule="auto"/>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Nota:</w:t>
            </w:r>
            <w:r w:rsidRPr="00C2045F">
              <w:rPr>
                <w:rFonts w:ascii="Geneva" w:eastAsia="Times New Roman" w:hAnsi="Geneva" w:cs="Times New Roman"/>
                <w:sz w:val="20"/>
                <w:szCs w:val="20"/>
                <w:lang w:eastAsia="es-ES"/>
              </w:rPr>
              <w:t xml:space="preserve"> </w:t>
            </w:r>
            <w:r w:rsidRPr="00C2045F">
              <w:rPr>
                <w:rFonts w:ascii="Geneva" w:eastAsia="Times New Roman" w:hAnsi="Geneva" w:cs="Times New Roman"/>
                <w:sz w:val="20"/>
                <w:szCs w:val="20"/>
                <w:lang w:eastAsia="es-ES"/>
              </w:rPr>
              <w:br/>
              <w:t>En el Departamento de contabilidad, se proporcionará una copia de la Cédula del Registro Federal de Contribuyentes (RFC) a quienes lo requieran.</w:t>
            </w:r>
          </w:p>
        </w:tc>
      </w:tr>
      <w:tr w:rsidR="00C2045F" w:rsidRPr="00C2045F" w:rsidTr="001F7567">
        <w:trPr>
          <w:trHeight w:val="73"/>
          <w:tblCellSpacing w:w="15" w:type="dxa"/>
        </w:trPr>
        <w:tc>
          <w:tcPr>
            <w:tcW w:w="10933" w:type="dxa"/>
            <w:gridSpan w:val="2"/>
            <w:vAlign w:val="center"/>
            <w:hideMark/>
          </w:tcPr>
          <w:p w:rsidR="00C2045F" w:rsidRPr="00C2045F" w:rsidRDefault="00C2045F" w:rsidP="00C2045F">
            <w:pPr>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lastRenderedPageBreak/>
              <w:t> </w:t>
            </w:r>
          </w:p>
          <w:p w:rsidR="000172D6" w:rsidRDefault="000172D6" w:rsidP="00C2045F">
            <w:pPr>
              <w:spacing w:before="100" w:beforeAutospacing="1" w:after="100" w:afterAutospacing="1" w:line="240" w:lineRule="auto"/>
              <w:jc w:val="center"/>
              <w:rPr>
                <w:rFonts w:ascii="Geneva" w:eastAsia="Times New Roman" w:hAnsi="Geneva" w:cs="Times New Roman"/>
                <w:b/>
                <w:bCs/>
                <w:sz w:val="20"/>
                <w:szCs w:val="20"/>
                <w:lang w:eastAsia="es-ES"/>
              </w:rPr>
            </w:pPr>
          </w:p>
          <w:p w:rsidR="000172D6" w:rsidRDefault="000172D6" w:rsidP="00C2045F">
            <w:pPr>
              <w:spacing w:before="100" w:beforeAutospacing="1" w:after="100" w:afterAutospacing="1" w:line="240" w:lineRule="auto"/>
              <w:jc w:val="center"/>
              <w:rPr>
                <w:rFonts w:ascii="Geneva" w:eastAsia="Times New Roman" w:hAnsi="Geneva" w:cs="Times New Roman"/>
                <w:b/>
                <w:bCs/>
                <w:sz w:val="20"/>
                <w:szCs w:val="20"/>
                <w:lang w:eastAsia="es-ES"/>
              </w:rPr>
            </w:pPr>
          </w:p>
          <w:p w:rsidR="000172D6" w:rsidRDefault="000172D6" w:rsidP="00C2045F">
            <w:pPr>
              <w:spacing w:before="100" w:beforeAutospacing="1" w:after="100" w:afterAutospacing="1" w:line="240" w:lineRule="auto"/>
              <w:jc w:val="center"/>
              <w:rPr>
                <w:rFonts w:ascii="Geneva" w:eastAsia="Times New Roman" w:hAnsi="Geneva" w:cs="Times New Roman"/>
                <w:b/>
                <w:bCs/>
                <w:sz w:val="20"/>
                <w:szCs w:val="20"/>
                <w:lang w:eastAsia="es-ES"/>
              </w:rPr>
            </w:pPr>
          </w:p>
          <w:p w:rsidR="00126558" w:rsidRDefault="00126558" w:rsidP="00C2045F">
            <w:pPr>
              <w:spacing w:before="100" w:beforeAutospacing="1" w:after="100" w:afterAutospacing="1" w:line="240" w:lineRule="auto"/>
              <w:jc w:val="center"/>
              <w:rPr>
                <w:rFonts w:ascii="Geneva" w:eastAsia="Times New Roman" w:hAnsi="Geneva" w:cs="Times New Roman"/>
                <w:b/>
                <w:bCs/>
                <w:sz w:val="20"/>
                <w:szCs w:val="20"/>
                <w:lang w:eastAsia="es-ES"/>
              </w:rPr>
            </w:pPr>
          </w:p>
          <w:p w:rsidR="00126558" w:rsidRDefault="00126558" w:rsidP="00C2045F">
            <w:pPr>
              <w:spacing w:before="100" w:beforeAutospacing="1" w:after="100" w:afterAutospacing="1" w:line="240" w:lineRule="auto"/>
              <w:jc w:val="center"/>
              <w:rPr>
                <w:rFonts w:ascii="Geneva" w:eastAsia="Times New Roman" w:hAnsi="Geneva" w:cs="Times New Roman"/>
                <w:b/>
                <w:bCs/>
                <w:sz w:val="20"/>
                <w:szCs w:val="20"/>
                <w:lang w:eastAsia="es-ES"/>
              </w:rPr>
            </w:pPr>
          </w:p>
          <w:p w:rsidR="00126558" w:rsidRDefault="00126558" w:rsidP="00C2045F">
            <w:pPr>
              <w:spacing w:before="100" w:beforeAutospacing="1" w:after="100" w:afterAutospacing="1" w:line="240" w:lineRule="auto"/>
              <w:jc w:val="center"/>
              <w:rPr>
                <w:rFonts w:ascii="Geneva" w:eastAsia="Times New Roman" w:hAnsi="Geneva" w:cs="Times New Roman"/>
                <w:b/>
                <w:bCs/>
                <w:sz w:val="20"/>
                <w:szCs w:val="20"/>
                <w:lang w:eastAsia="es-ES"/>
              </w:rPr>
            </w:pPr>
          </w:p>
          <w:p w:rsidR="00126558" w:rsidRDefault="00126558" w:rsidP="00C2045F">
            <w:pPr>
              <w:spacing w:before="100" w:beforeAutospacing="1" w:after="100" w:afterAutospacing="1" w:line="240" w:lineRule="auto"/>
              <w:jc w:val="center"/>
              <w:rPr>
                <w:rFonts w:ascii="Geneva" w:eastAsia="Times New Roman" w:hAnsi="Geneva" w:cs="Times New Roman"/>
                <w:b/>
                <w:bCs/>
                <w:sz w:val="20"/>
                <w:szCs w:val="20"/>
                <w:lang w:eastAsia="es-ES"/>
              </w:rPr>
            </w:pPr>
          </w:p>
          <w:p w:rsidR="00126558" w:rsidRDefault="00126558" w:rsidP="00C2045F">
            <w:pPr>
              <w:spacing w:before="100" w:beforeAutospacing="1" w:after="100" w:afterAutospacing="1" w:line="240" w:lineRule="auto"/>
              <w:jc w:val="center"/>
              <w:rPr>
                <w:rFonts w:ascii="Geneva" w:eastAsia="Times New Roman" w:hAnsi="Geneva" w:cs="Times New Roman"/>
                <w:b/>
                <w:bCs/>
                <w:sz w:val="20"/>
                <w:szCs w:val="20"/>
                <w:lang w:eastAsia="es-ES"/>
              </w:rPr>
            </w:pPr>
          </w:p>
          <w:p w:rsidR="00126558" w:rsidRDefault="00126558" w:rsidP="00C2045F">
            <w:pPr>
              <w:spacing w:before="100" w:beforeAutospacing="1" w:after="100" w:afterAutospacing="1" w:line="240" w:lineRule="auto"/>
              <w:jc w:val="center"/>
              <w:rPr>
                <w:rFonts w:ascii="Geneva" w:eastAsia="Times New Roman" w:hAnsi="Geneva" w:cs="Times New Roman"/>
                <w:b/>
                <w:bCs/>
                <w:sz w:val="20"/>
                <w:szCs w:val="20"/>
                <w:lang w:eastAsia="es-ES"/>
              </w:rPr>
            </w:pPr>
          </w:p>
          <w:p w:rsidR="00126558" w:rsidRDefault="00126558" w:rsidP="00C2045F">
            <w:pPr>
              <w:spacing w:before="100" w:beforeAutospacing="1" w:after="100" w:afterAutospacing="1" w:line="240" w:lineRule="auto"/>
              <w:jc w:val="center"/>
              <w:rPr>
                <w:rFonts w:ascii="Geneva" w:eastAsia="Times New Roman" w:hAnsi="Geneva" w:cs="Times New Roman"/>
                <w:b/>
                <w:bCs/>
                <w:sz w:val="20"/>
                <w:szCs w:val="20"/>
                <w:lang w:eastAsia="es-ES"/>
              </w:rPr>
            </w:pPr>
          </w:p>
          <w:p w:rsidR="00126558" w:rsidRDefault="00126558" w:rsidP="00C2045F">
            <w:pPr>
              <w:spacing w:before="100" w:beforeAutospacing="1" w:after="100" w:afterAutospacing="1" w:line="240" w:lineRule="auto"/>
              <w:jc w:val="center"/>
              <w:rPr>
                <w:rFonts w:ascii="Geneva" w:eastAsia="Times New Roman" w:hAnsi="Geneva" w:cs="Times New Roman"/>
                <w:b/>
                <w:bCs/>
                <w:sz w:val="20"/>
                <w:szCs w:val="20"/>
                <w:lang w:eastAsia="es-ES"/>
              </w:rPr>
            </w:pPr>
          </w:p>
          <w:p w:rsidR="00126558" w:rsidRDefault="00126558" w:rsidP="00C2045F">
            <w:pPr>
              <w:spacing w:before="100" w:beforeAutospacing="1" w:after="100" w:afterAutospacing="1" w:line="240" w:lineRule="auto"/>
              <w:jc w:val="center"/>
              <w:rPr>
                <w:rFonts w:ascii="Geneva" w:eastAsia="Times New Roman" w:hAnsi="Geneva" w:cs="Times New Roman"/>
                <w:b/>
                <w:bCs/>
                <w:sz w:val="20"/>
                <w:szCs w:val="20"/>
                <w:lang w:eastAsia="es-ES"/>
              </w:rPr>
            </w:pPr>
          </w:p>
          <w:p w:rsidR="00C2045F" w:rsidRPr="00C2045F" w:rsidRDefault="00C2045F" w:rsidP="00C2045F">
            <w:pPr>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ANEXO “B”</w:t>
            </w:r>
          </w:p>
          <w:p w:rsidR="00C2045F" w:rsidRPr="00C2045F" w:rsidRDefault="00C2045F" w:rsidP="00C2045F">
            <w:pPr>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sz w:val="20"/>
                <w:szCs w:val="20"/>
                <w:lang w:eastAsia="es-ES"/>
              </w:rPr>
              <w:br/>
              <w:t>ANEXOS DE LAS SOLICITUDES DE CHEQUE</w:t>
            </w:r>
          </w:p>
          <w:p w:rsidR="00C2045F" w:rsidRPr="00C2045F" w:rsidRDefault="00C2045F" w:rsidP="00C2045F">
            <w:pPr>
              <w:spacing w:before="100" w:beforeAutospacing="1" w:after="100" w:afterAutospacing="1" w:line="240" w:lineRule="auto"/>
              <w:jc w:val="center"/>
              <w:rPr>
                <w:rFonts w:ascii="Geneva" w:eastAsia="Times New Roman" w:hAnsi="Geneva" w:cs="Times New Roman"/>
                <w:sz w:val="20"/>
                <w:szCs w:val="20"/>
                <w:lang w:eastAsia="es-ES"/>
              </w:rPr>
            </w:pPr>
            <w:r>
              <w:rPr>
                <w:rFonts w:ascii="Geneva" w:eastAsia="Times New Roman" w:hAnsi="Geneva" w:cs="Times New Roman"/>
                <w:noProof/>
                <w:sz w:val="20"/>
                <w:szCs w:val="20"/>
                <w:lang w:val="es-MX" w:eastAsia="es-MX"/>
              </w:rPr>
              <w:drawing>
                <wp:inline distT="0" distB="0" distL="0" distR="0">
                  <wp:extent cx="7381875" cy="4191000"/>
                  <wp:effectExtent l="19050" t="0" r="9525" b="0"/>
                  <wp:docPr id="2" name="Imagen 2" descr="Anex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exo B"/>
                          <pic:cNvPicPr>
                            <a:picLocks noChangeAspect="1" noChangeArrowheads="1"/>
                          </pic:cNvPicPr>
                        </pic:nvPicPr>
                        <pic:blipFill>
                          <a:blip r:embed="rId12"/>
                          <a:srcRect/>
                          <a:stretch>
                            <a:fillRect/>
                          </a:stretch>
                        </pic:blipFill>
                        <pic:spPr bwMode="auto">
                          <a:xfrm>
                            <a:off x="0" y="0"/>
                            <a:ext cx="7381875" cy="4191000"/>
                          </a:xfrm>
                          <a:prstGeom prst="rect">
                            <a:avLst/>
                          </a:prstGeom>
                          <a:noFill/>
                          <a:ln w="9525">
                            <a:noFill/>
                            <a:miter lim="800000"/>
                            <a:headEnd/>
                            <a:tailEnd/>
                          </a:ln>
                        </pic:spPr>
                      </pic:pic>
                    </a:graphicData>
                  </a:graphic>
                </wp:inline>
              </w:drawing>
            </w:r>
          </w:p>
        </w:tc>
      </w:tr>
      <w:tr w:rsidR="00C2045F" w:rsidRPr="00C2045F" w:rsidTr="001F7567">
        <w:trPr>
          <w:trHeight w:val="785"/>
          <w:tblCellSpacing w:w="15" w:type="dxa"/>
        </w:trPr>
        <w:tc>
          <w:tcPr>
            <w:tcW w:w="10933" w:type="dxa"/>
            <w:gridSpan w:val="2"/>
            <w:vAlign w:val="center"/>
            <w:hideMark/>
          </w:tcPr>
          <w:p w:rsidR="000172D6" w:rsidRDefault="000172D6" w:rsidP="00C2045F">
            <w:pPr>
              <w:spacing w:before="100" w:beforeAutospacing="1" w:after="100" w:afterAutospacing="1" w:line="240" w:lineRule="auto"/>
              <w:jc w:val="center"/>
              <w:rPr>
                <w:rFonts w:ascii="Geneva" w:eastAsia="Times New Roman" w:hAnsi="Geneva" w:cs="Times New Roman"/>
                <w:b/>
                <w:bCs/>
                <w:sz w:val="20"/>
                <w:szCs w:val="20"/>
                <w:lang w:eastAsia="es-ES"/>
              </w:rPr>
            </w:pPr>
          </w:p>
          <w:p w:rsidR="00C2045F" w:rsidRPr="00C2045F" w:rsidRDefault="00C2045F" w:rsidP="00C2045F">
            <w:pPr>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ANEXO “C”</w:t>
            </w:r>
          </w:p>
          <w:p w:rsidR="00C2045F" w:rsidRPr="00C2045F" w:rsidRDefault="00C2045F" w:rsidP="00C2045F">
            <w:pPr>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Distribución de tiempos para recepción y pago de solicitudes de cheque y transferencias bancarias</w:t>
            </w:r>
          </w:p>
          <w:p w:rsidR="00C2045F" w:rsidRPr="00C2045F" w:rsidRDefault="00C2045F" w:rsidP="00C2045F">
            <w:pPr>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2"/>
              <w:gridCol w:w="2702"/>
              <w:gridCol w:w="2405"/>
            </w:tblGrid>
            <w:tr w:rsidR="00C2045F" w:rsidRPr="00C2045F" w:rsidTr="001F7567">
              <w:trPr>
                <w:trHeight w:val="128"/>
                <w:tblCellSpacing w:w="0" w:type="dxa"/>
                <w:jc w:val="center"/>
              </w:trPr>
              <w:tc>
                <w:tcPr>
                  <w:tcW w:w="1842"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Horario de atención</w:t>
                  </w:r>
                </w:p>
              </w:tc>
              <w:tc>
                <w:tcPr>
                  <w:tcW w:w="2702"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Días de recepción de solicitudes</w:t>
                  </w:r>
                </w:p>
              </w:tc>
              <w:tc>
                <w:tcPr>
                  <w:tcW w:w="2405"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Día de pago</w:t>
                  </w:r>
                </w:p>
              </w:tc>
            </w:tr>
          </w:tbl>
          <w:p w:rsidR="00C2045F" w:rsidRPr="00C2045F" w:rsidRDefault="00C2045F" w:rsidP="00C2045F">
            <w:pPr>
              <w:spacing w:after="0" w:line="240" w:lineRule="auto"/>
              <w:rPr>
                <w:rFonts w:ascii="Times New Roman" w:eastAsia="Times New Roman" w:hAnsi="Times New Roman" w:cs="Times New Roman"/>
                <w:sz w:val="24"/>
                <w:szCs w:val="24"/>
                <w:lang w:eastAsia="es-ES"/>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2"/>
              <w:gridCol w:w="2702"/>
              <w:gridCol w:w="2405"/>
            </w:tblGrid>
            <w:tr w:rsidR="00C2045F" w:rsidRPr="00C2045F" w:rsidTr="001F7567">
              <w:trPr>
                <w:trHeight w:val="128"/>
                <w:tblCellSpacing w:w="0" w:type="dxa"/>
                <w:jc w:val="center"/>
              </w:trPr>
              <w:tc>
                <w:tcPr>
                  <w:tcW w:w="1842"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 xml:space="preserve">8:30 – 15:00 </w:t>
                  </w:r>
                  <w:proofErr w:type="spellStart"/>
                  <w:r w:rsidRPr="00C2045F">
                    <w:rPr>
                      <w:rFonts w:ascii="Geneva" w:eastAsia="Times New Roman" w:hAnsi="Geneva" w:cs="Times New Roman"/>
                      <w:b/>
                      <w:bCs/>
                      <w:sz w:val="20"/>
                      <w:szCs w:val="20"/>
                      <w:lang w:eastAsia="es-ES"/>
                    </w:rPr>
                    <w:t>hrs</w:t>
                  </w:r>
                  <w:proofErr w:type="spellEnd"/>
                  <w:r w:rsidRPr="00C2045F">
                    <w:rPr>
                      <w:rFonts w:ascii="Geneva" w:eastAsia="Times New Roman" w:hAnsi="Geneva" w:cs="Times New Roman"/>
                      <w:b/>
                      <w:bCs/>
                      <w:sz w:val="20"/>
                      <w:szCs w:val="20"/>
                      <w:lang w:eastAsia="es-ES"/>
                    </w:rPr>
                    <w:t>.</w:t>
                  </w:r>
                </w:p>
              </w:tc>
              <w:tc>
                <w:tcPr>
                  <w:tcW w:w="2702"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Lunes, Martes</w:t>
                  </w:r>
                </w:p>
              </w:tc>
              <w:tc>
                <w:tcPr>
                  <w:tcW w:w="2405"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Jueves de la misma semana</w:t>
                  </w:r>
                </w:p>
              </w:tc>
            </w:tr>
            <w:tr w:rsidR="00C2045F" w:rsidRPr="00C2045F" w:rsidTr="001F7567">
              <w:trPr>
                <w:trHeight w:val="242"/>
                <w:tblCellSpacing w:w="0" w:type="dxa"/>
                <w:jc w:val="center"/>
              </w:trPr>
              <w:tc>
                <w:tcPr>
                  <w:tcW w:w="1842"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 xml:space="preserve">8:30 – 17: 00 </w:t>
                  </w:r>
                  <w:proofErr w:type="spellStart"/>
                  <w:r w:rsidRPr="00C2045F">
                    <w:rPr>
                      <w:rFonts w:ascii="Geneva" w:eastAsia="Times New Roman" w:hAnsi="Geneva" w:cs="Times New Roman"/>
                      <w:b/>
                      <w:bCs/>
                      <w:sz w:val="20"/>
                      <w:szCs w:val="20"/>
                      <w:lang w:eastAsia="es-ES"/>
                    </w:rPr>
                    <w:t>hrs</w:t>
                  </w:r>
                  <w:proofErr w:type="spellEnd"/>
                  <w:r w:rsidRPr="00C2045F">
                    <w:rPr>
                      <w:rFonts w:ascii="Geneva" w:eastAsia="Times New Roman" w:hAnsi="Geneva" w:cs="Times New Roman"/>
                      <w:b/>
                      <w:bCs/>
                      <w:sz w:val="20"/>
                      <w:szCs w:val="20"/>
                      <w:lang w:eastAsia="es-ES"/>
                    </w:rPr>
                    <w:t>.</w:t>
                  </w:r>
                </w:p>
              </w:tc>
              <w:tc>
                <w:tcPr>
                  <w:tcW w:w="2702"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Miércoles, Jueves, Viernes</w:t>
                  </w:r>
                </w:p>
              </w:tc>
              <w:tc>
                <w:tcPr>
                  <w:tcW w:w="2405" w:type="dxa"/>
                  <w:tcBorders>
                    <w:top w:val="outset" w:sz="6" w:space="0" w:color="auto"/>
                    <w:left w:val="outset" w:sz="6" w:space="0" w:color="auto"/>
                    <w:bottom w:val="outset" w:sz="6" w:space="0" w:color="auto"/>
                    <w:right w:val="outset" w:sz="6" w:space="0" w:color="auto"/>
                  </w:tcBorders>
                  <w:vAlign w:val="center"/>
                  <w:hideMark/>
                </w:tcPr>
                <w:p w:rsidR="00C2045F" w:rsidRPr="00C2045F" w:rsidRDefault="00C2045F" w:rsidP="0013777E">
                  <w:pPr>
                    <w:framePr w:hSpace="141" w:wrap="around" w:vAnchor="page" w:hAnchor="margin" w:xAlign="center" w:y="451"/>
                    <w:spacing w:before="100" w:beforeAutospacing="1" w:after="100" w:afterAutospacing="1" w:line="240" w:lineRule="auto"/>
                    <w:jc w:val="center"/>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Jueves de la siguiente semana</w:t>
                  </w:r>
                </w:p>
              </w:tc>
            </w:tr>
          </w:tbl>
          <w:p w:rsidR="00C2045F" w:rsidRPr="00C2045F" w:rsidRDefault="00C2045F" w:rsidP="00C2045F">
            <w:pPr>
              <w:spacing w:before="100" w:beforeAutospacing="1" w:after="100" w:afterAutospacing="1" w:line="240" w:lineRule="auto"/>
              <w:rPr>
                <w:rFonts w:ascii="Geneva" w:eastAsia="Times New Roman" w:hAnsi="Geneva" w:cs="Times New Roman"/>
                <w:sz w:val="20"/>
                <w:szCs w:val="20"/>
                <w:lang w:eastAsia="es-ES"/>
              </w:rPr>
            </w:pPr>
            <w:r w:rsidRPr="00C2045F">
              <w:rPr>
                <w:rFonts w:ascii="Geneva" w:eastAsia="Times New Roman" w:hAnsi="Geneva" w:cs="Times New Roman"/>
                <w:b/>
                <w:bCs/>
                <w:sz w:val="20"/>
                <w:szCs w:val="20"/>
                <w:lang w:eastAsia="es-ES"/>
              </w:rPr>
              <w:t xml:space="preserve">Nota: </w:t>
            </w:r>
            <w:r w:rsidRPr="00C2045F">
              <w:rPr>
                <w:rFonts w:ascii="Geneva" w:eastAsia="Times New Roman" w:hAnsi="Geneva" w:cs="Times New Roman"/>
                <w:sz w:val="20"/>
                <w:szCs w:val="20"/>
                <w:lang w:eastAsia="es-ES"/>
              </w:rPr>
              <w:t>La expedición de cheques y transferencias, estará sujeta a su  autorización, así como a la disponibilidad presupuestal y financiera.</w:t>
            </w:r>
          </w:p>
        </w:tc>
      </w:tr>
    </w:tbl>
    <w:p w:rsidR="00FD0DA4" w:rsidRDefault="00FD0DA4"/>
    <w:sectPr w:rsidR="00FD0DA4" w:rsidSect="0013777E">
      <w:pgSz w:w="12242" w:h="15842" w:code="1"/>
      <w:pgMar w:top="851"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neva">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2312"/>
    <w:multiLevelType w:val="multilevel"/>
    <w:tmpl w:val="2358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FC409B"/>
    <w:multiLevelType w:val="hybridMultilevel"/>
    <w:tmpl w:val="964EDDF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53D14E34"/>
    <w:multiLevelType w:val="multilevel"/>
    <w:tmpl w:val="079C59C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54FE5218"/>
    <w:multiLevelType w:val="hybridMultilevel"/>
    <w:tmpl w:val="D696D6F0"/>
    <w:lvl w:ilvl="0" w:tplc="202A7308">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7FED7D95"/>
    <w:multiLevelType w:val="hybridMultilevel"/>
    <w:tmpl w:val="5F664CE4"/>
    <w:lvl w:ilvl="0" w:tplc="D7FA16F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5F"/>
    <w:rsid w:val="000172D6"/>
    <w:rsid w:val="000D2A35"/>
    <w:rsid w:val="00126558"/>
    <w:rsid w:val="0013777E"/>
    <w:rsid w:val="001F51EC"/>
    <w:rsid w:val="001F7567"/>
    <w:rsid w:val="00265873"/>
    <w:rsid w:val="002C57A7"/>
    <w:rsid w:val="0032500B"/>
    <w:rsid w:val="004549B9"/>
    <w:rsid w:val="004663AD"/>
    <w:rsid w:val="00494C8F"/>
    <w:rsid w:val="004F4081"/>
    <w:rsid w:val="00570F12"/>
    <w:rsid w:val="005A20CC"/>
    <w:rsid w:val="005C3589"/>
    <w:rsid w:val="00650457"/>
    <w:rsid w:val="006A720F"/>
    <w:rsid w:val="00715A03"/>
    <w:rsid w:val="00791B19"/>
    <w:rsid w:val="00817EEE"/>
    <w:rsid w:val="00840615"/>
    <w:rsid w:val="008A39F5"/>
    <w:rsid w:val="00927109"/>
    <w:rsid w:val="009B4B9A"/>
    <w:rsid w:val="009D7A76"/>
    <w:rsid w:val="009F1FA7"/>
    <w:rsid w:val="00A74367"/>
    <w:rsid w:val="00B22EF0"/>
    <w:rsid w:val="00BE7BC4"/>
    <w:rsid w:val="00C139E5"/>
    <w:rsid w:val="00C2045F"/>
    <w:rsid w:val="00CB10B3"/>
    <w:rsid w:val="00D30ACF"/>
    <w:rsid w:val="00D75543"/>
    <w:rsid w:val="00D84C71"/>
    <w:rsid w:val="00DB2BA2"/>
    <w:rsid w:val="00EE2AA4"/>
    <w:rsid w:val="00F1606E"/>
    <w:rsid w:val="00F52A67"/>
    <w:rsid w:val="00F95935"/>
    <w:rsid w:val="00FD0DA4"/>
    <w:rsid w:val="00FE69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538C"/>
  <w15:docId w15:val="{372CD5A6-8E57-4B14-8EDD-3E8A8C83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D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2045F"/>
    <w:rPr>
      <w:strike w:val="0"/>
      <w:dstrike w:val="0"/>
      <w:color w:val="006633"/>
      <w:u w:val="none"/>
      <w:effect w:val="none"/>
    </w:rPr>
  </w:style>
  <w:style w:type="paragraph" w:customStyle="1" w:styleId="estilo1">
    <w:name w:val="estilo1"/>
    <w:basedOn w:val="Normal"/>
    <w:rsid w:val="00C2045F"/>
    <w:pPr>
      <w:spacing w:before="100" w:beforeAutospacing="1" w:after="100" w:afterAutospacing="1" w:line="240" w:lineRule="auto"/>
    </w:pPr>
    <w:rPr>
      <w:rFonts w:ascii="Geneva" w:eastAsia="Times New Roman" w:hAnsi="Geneva" w:cs="Times New Roman"/>
      <w:sz w:val="20"/>
      <w:szCs w:val="20"/>
      <w:lang w:eastAsia="es-ES"/>
    </w:rPr>
  </w:style>
  <w:style w:type="paragraph" w:customStyle="1" w:styleId="estilo9">
    <w:name w:val="estilo9"/>
    <w:basedOn w:val="Normal"/>
    <w:rsid w:val="00C2045F"/>
    <w:pPr>
      <w:spacing w:before="100" w:beforeAutospacing="1" w:after="100" w:afterAutospacing="1" w:line="240" w:lineRule="auto"/>
    </w:pPr>
    <w:rPr>
      <w:rFonts w:ascii="Geneva" w:eastAsia="Times New Roman" w:hAnsi="Geneva" w:cs="Times New Roman"/>
      <w:b/>
      <w:bCs/>
      <w:sz w:val="20"/>
      <w:szCs w:val="20"/>
      <w:lang w:eastAsia="es-ES"/>
    </w:rPr>
  </w:style>
  <w:style w:type="paragraph" w:styleId="NormalWeb">
    <w:name w:val="Normal (Web)"/>
    <w:basedOn w:val="Normal"/>
    <w:uiPriority w:val="99"/>
    <w:unhideWhenUsed/>
    <w:rsid w:val="00C2045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2045F"/>
    <w:rPr>
      <w:b/>
      <w:bCs/>
    </w:rPr>
  </w:style>
  <w:style w:type="character" w:customStyle="1" w:styleId="estilo91">
    <w:name w:val="estilo91"/>
    <w:basedOn w:val="Fuentedeprrafopredeter"/>
    <w:rsid w:val="00C2045F"/>
    <w:rPr>
      <w:rFonts w:ascii="Geneva" w:hAnsi="Geneva" w:hint="default"/>
      <w:b/>
      <w:bCs/>
      <w:sz w:val="20"/>
      <w:szCs w:val="20"/>
    </w:rPr>
  </w:style>
  <w:style w:type="character" w:customStyle="1" w:styleId="estilo12">
    <w:name w:val="estilo12"/>
    <w:basedOn w:val="Fuentedeprrafopredeter"/>
    <w:rsid w:val="00C2045F"/>
    <w:rPr>
      <w:rFonts w:ascii="Geneva" w:hAnsi="Geneva" w:hint="default"/>
      <w:sz w:val="20"/>
      <w:szCs w:val="20"/>
    </w:rPr>
  </w:style>
  <w:style w:type="character" w:customStyle="1" w:styleId="estilo111">
    <w:name w:val="estilo111"/>
    <w:basedOn w:val="Fuentedeprrafopredeter"/>
    <w:rsid w:val="00C2045F"/>
    <w:rPr>
      <w:b/>
      <w:bCs/>
    </w:rPr>
  </w:style>
  <w:style w:type="paragraph" w:styleId="Textodeglobo">
    <w:name w:val="Balloon Text"/>
    <w:basedOn w:val="Normal"/>
    <w:link w:val="TextodegloboCar"/>
    <w:uiPriority w:val="99"/>
    <w:semiHidden/>
    <w:unhideWhenUsed/>
    <w:rsid w:val="00C204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045F"/>
    <w:rPr>
      <w:rFonts w:ascii="Tahoma" w:hAnsi="Tahoma" w:cs="Tahoma"/>
      <w:sz w:val="16"/>
      <w:szCs w:val="16"/>
    </w:rPr>
  </w:style>
  <w:style w:type="character" w:styleId="Refdecomentario">
    <w:name w:val="annotation reference"/>
    <w:basedOn w:val="Fuentedeprrafopredeter"/>
    <w:uiPriority w:val="99"/>
    <w:semiHidden/>
    <w:unhideWhenUsed/>
    <w:rsid w:val="00126558"/>
    <w:rPr>
      <w:sz w:val="16"/>
      <w:szCs w:val="16"/>
    </w:rPr>
  </w:style>
  <w:style w:type="paragraph" w:styleId="Textocomentario">
    <w:name w:val="annotation text"/>
    <w:basedOn w:val="Normal"/>
    <w:link w:val="TextocomentarioCar"/>
    <w:uiPriority w:val="99"/>
    <w:semiHidden/>
    <w:unhideWhenUsed/>
    <w:rsid w:val="001265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6558"/>
    <w:rPr>
      <w:sz w:val="20"/>
      <w:szCs w:val="20"/>
    </w:rPr>
  </w:style>
  <w:style w:type="paragraph" w:styleId="Asuntodelcomentario">
    <w:name w:val="annotation subject"/>
    <w:basedOn w:val="Textocomentario"/>
    <w:next w:val="Textocomentario"/>
    <w:link w:val="AsuntodelcomentarioCar"/>
    <w:uiPriority w:val="99"/>
    <w:semiHidden/>
    <w:unhideWhenUsed/>
    <w:rsid w:val="00126558"/>
    <w:rPr>
      <w:b/>
      <w:bCs/>
    </w:rPr>
  </w:style>
  <w:style w:type="character" w:customStyle="1" w:styleId="AsuntodelcomentarioCar">
    <w:name w:val="Asunto del comentario Car"/>
    <w:basedOn w:val="TextocomentarioCar"/>
    <w:link w:val="Asuntodelcomentario"/>
    <w:uiPriority w:val="99"/>
    <w:semiHidden/>
    <w:rsid w:val="00126558"/>
    <w:rPr>
      <w:b/>
      <w:bCs/>
      <w:sz w:val="20"/>
      <w:szCs w:val="20"/>
    </w:rPr>
  </w:style>
  <w:style w:type="paragraph" w:styleId="Prrafodelista">
    <w:name w:val="List Paragraph"/>
    <w:basedOn w:val="Normal"/>
    <w:uiPriority w:val="34"/>
    <w:qFormat/>
    <w:rsid w:val="006A7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455458">
      <w:bodyDiv w:val="1"/>
      <w:marLeft w:val="0"/>
      <w:marRight w:val="0"/>
      <w:marTop w:val="0"/>
      <w:marBottom w:val="0"/>
      <w:divBdr>
        <w:top w:val="none" w:sz="0" w:space="0" w:color="auto"/>
        <w:left w:val="none" w:sz="0" w:space="0" w:color="auto"/>
        <w:bottom w:val="none" w:sz="0" w:space="0" w:color="auto"/>
        <w:right w:val="none" w:sz="0" w:space="0" w:color="auto"/>
      </w:divBdr>
      <w:divsChild>
        <w:div w:id="880676285">
          <w:marLeft w:val="0"/>
          <w:marRight w:val="0"/>
          <w:marTop w:val="0"/>
          <w:marBottom w:val="0"/>
          <w:divBdr>
            <w:top w:val="none" w:sz="0" w:space="0" w:color="auto"/>
            <w:left w:val="none" w:sz="0" w:space="0" w:color="auto"/>
            <w:bottom w:val="none" w:sz="0" w:space="0" w:color="auto"/>
            <w:right w:val="none" w:sz="0" w:space="0" w:color="auto"/>
          </w:divBdr>
        </w:div>
        <w:div w:id="1362514644">
          <w:marLeft w:val="0"/>
          <w:marRight w:val="0"/>
          <w:marTop w:val="0"/>
          <w:marBottom w:val="0"/>
          <w:divBdr>
            <w:top w:val="none" w:sz="0" w:space="0" w:color="auto"/>
            <w:left w:val="none" w:sz="0" w:space="0" w:color="auto"/>
            <w:bottom w:val="none" w:sz="0" w:space="0" w:color="auto"/>
            <w:right w:val="none" w:sz="0" w:space="0" w:color="auto"/>
          </w:divBdr>
          <w:divsChild>
            <w:div w:id="432942722">
              <w:marLeft w:val="0"/>
              <w:marRight w:val="0"/>
              <w:marTop w:val="0"/>
              <w:marBottom w:val="0"/>
              <w:divBdr>
                <w:top w:val="none" w:sz="0" w:space="0" w:color="auto"/>
                <w:left w:val="none" w:sz="0" w:space="0" w:color="auto"/>
                <w:bottom w:val="none" w:sz="0" w:space="0" w:color="auto"/>
                <w:right w:val="none" w:sz="0" w:space="0" w:color="auto"/>
              </w:divBdr>
            </w:div>
          </w:divsChild>
        </w:div>
        <w:div w:id="949630443">
          <w:marLeft w:val="0"/>
          <w:marRight w:val="0"/>
          <w:marTop w:val="0"/>
          <w:marBottom w:val="0"/>
          <w:divBdr>
            <w:top w:val="none" w:sz="0" w:space="0" w:color="auto"/>
            <w:left w:val="none" w:sz="0" w:space="0" w:color="auto"/>
            <w:bottom w:val="none" w:sz="0" w:space="0" w:color="auto"/>
            <w:right w:val="none" w:sz="0" w:space="0" w:color="auto"/>
          </w:divBdr>
        </w:div>
        <w:div w:id="1776513318">
          <w:marLeft w:val="0"/>
          <w:marRight w:val="0"/>
          <w:marTop w:val="0"/>
          <w:marBottom w:val="0"/>
          <w:divBdr>
            <w:top w:val="none" w:sz="0" w:space="0" w:color="auto"/>
            <w:left w:val="none" w:sz="0" w:space="0" w:color="auto"/>
            <w:bottom w:val="none" w:sz="0" w:space="0" w:color="auto"/>
            <w:right w:val="none" w:sz="0" w:space="0" w:color="auto"/>
          </w:divBdr>
          <w:divsChild>
            <w:div w:id="1328896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259055">
          <w:marLeft w:val="0"/>
          <w:marRight w:val="0"/>
          <w:marTop w:val="0"/>
          <w:marBottom w:val="0"/>
          <w:divBdr>
            <w:top w:val="none" w:sz="0" w:space="0" w:color="auto"/>
            <w:left w:val="none" w:sz="0" w:space="0" w:color="auto"/>
            <w:bottom w:val="none" w:sz="0" w:space="0" w:color="auto"/>
            <w:right w:val="none" w:sz="0" w:space="0" w:color="auto"/>
          </w:divBdr>
        </w:div>
      </w:divsChild>
    </w:div>
    <w:div w:id="18400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sarrollo/Documentos/Programacion%20y%20Presupuesto/archivos/2009/lineamientos/Vale%20para%20gastos%20menores.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sarrollo/Documentos/Programacion%20y%20Presupuesto/archivos/2009/lineamientos/Pliego%20de%20Comisi&#243;n.doc"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sarrollo/Documentos/Programacion%20y%20Presupuesto/archivos/2009/lineamientos/Vale%20papeleria.xls" TargetMode="External"/><Relationship Id="rId11" Type="http://schemas.openxmlformats.org/officeDocument/2006/relationships/hyperlink" Target="mailto:facturas.utvm@utvm.edu.mx" TargetMode="External"/><Relationship Id="rId5" Type="http://schemas.openxmlformats.org/officeDocument/2006/relationships/image" Target="media/image1.jpeg"/><Relationship Id="rId10" Type="http://schemas.openxmlformats.org/officeDocument/2006/relationships/hyperlink" Target="mailto:facturas_pto@utvm.edu.mx" TargetMode="External"/><Relationship Id="rId4" Type="http://schemas.openxmlformats.org/officeDocument/2006/relationships/webSettings" Target="webSettings.xml"/><Relationship Id="rId9" Type="http://schemas.openxmlformats.org/officeDocument/2006/relationships/hyperlink" Target="http://desarrollo/Documentos/Programacion%20y%20Presupuesto/archivos/2009/lineamientos/Comprobante%20de%20gastos%20menores.doc"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3775</Words>
  <Characters>20763</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24490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POMI780117</dc:creator>
  <cp:keywords/>
  <dc:description/>
  <cp:lastModifiedBy>ITZMENEN PORTILLO MONROY</cp:lastModifiedBy>
  <cp:revision>4</cp:revision>
  <cp:lastPrinted>2010-08-27T18:20:00Z</cp:lastPrinted>
  <dcterms:created xsi:type="dcterms:W3CDTF">2019-05-02T17:35:00Z</dcterms:created>
  <dcterms:modified xsi:type="dcterms:W3CDTF">2019-05-02T21:41:00Z</dcterms:modified>
</cp:coreProperties>
</file>